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3562ds1a.htm"/>
        <w:bookmarkStart w:id="1" w:name="ksd63562ds1a"/>
        <w:bookmarkEnd w:id="0"/>
        <w:bookmarkEnd w:id="1"/>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As filed with the U.S. Securities and Exchange Commission on December 19, 2025 </w:t>
      </w:r>
    </w:p>
    <w:p>
      <w:pPr>
        <w:pStyle w:val="TextBody"/>
        <w:bidi w:val="0"/>
        <w:spacing w:before="0" w:after="0"/>
        <w:ind w:left="0" w:right="0" w:hanging="0"/>
        <w:jc w:val="right"/>
        <w:rPr>
          <w:rFonts w:ascii="Times New Roman" w:hAnsi="Times New Roman"/>
          <w:b/>
          <w:spacing w:val="0"/>
          <w:sz w:val="18"/>
        </w:rPr>
      </w:pPr>
      <w:r>
        <w:rPr>
          <w:rFonts w:ascii="Times New Roman" w:hAnsi="Times New Roman"/>
          <w:b/>
          <w:spacing w:val="0"/>
          <w:sz w:val="18"/>
        </w:rPr>
        <w:t xml:space="preserve">Registration No. 333-290995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ind w:left="0" w:right="0" w:hanging="0"/>
        <w:jc w:val="center"/>
        <w:rPr>
          <w:rFonts w:ascii="Times New Roman" w:hAnsi="Times New Roman"/>
          <w:b/>
          <w:spacing w:val="0"/>
          <w:sz w:val="22"/>
        </w:rPr>
      </w:pPr>
      <w:r>
        <w:rPr>
          <w:rFonts w:ascii="Times New Roman" w:hAnsi="Times New Roman"/>
          <w:b/>
          <w:spacing w:val="0"/>
          <w:sz w:val="22"/>
        </w:rPr>
        <w:t xml:space="preserve">Washington, D.C. 20549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80" w:after="0"/>
        <w:ind w:left="0" w:right="0" w:hanging="0"/>
        <w:jc w:val="center"/>
        <w:rPr>
          <w:rFonts w:ascii="Times New Roman" w:hAnsi="Times New Roman"/>
          <w:b/>
          <w:spacing w:val="0"/>
          <w:sz w:val="32"/>
        </w:rPr>
      </w:pPr>
      <w:r>
        <w:rPr>
          <w:rFonts w:ascii="Times New Roman" w:hAnsi="Times New Roman"/>
          <w:b/>
          <w:spacing w:val="0"/>
          <w:sz w:val="32"/>
        </w:rPr>
        <w:t xml:space="preserve">Amendment No. 1 </w:t>
      </w:r>
    </w:p>
    <w:p>
      <w:pPr>
        <w:pStyle w:val="TextBody"/>
        <w:bidi w:val="0"/>
        <w:spacing w:before="0" w:after="0"/>
        <w:ind w:left="0" w:right="0" w:hanging="0"/>
        <w:jc w:val="center"/>
        <w:rPr>
          <w:rFonts w:ascii="Times New Roman" w:hAnsi="Times New Roman"/>
          <w:b/>
          <w:spacing w:val="0"/>
          <w:sz w:val="32"/>
        </w:rPr>
      </w:pPr>
      <w:r>
        <w:rPr>
          <w:rFonts w:ascii="Times New Roman" w:hAnsi="Times New Roman"/>
          <w:b/>
          <w:spacing w:val="0"/>
          <w:sz w:val="32"/>
        </w:rPr>
        <w:t xml:space="preserve">to </w:t>
      </w:r>
    </w:p>
    <w:p>
      <w:pPr>
        <w:pStyle w:val="TextBody"/>
        <w:bidi w:val="0"/>
        <w:spacing w:before="80" w:after="0"/>
        <w:ind w:left="0" w:right="0" w:hanging="0"/>
        <w:jc w:val="center"/>
        <w:rPr>
          <w:rFonts w:ascii="Times New Roman" w:hAnsi="Times New Roman"/>
          <w:b/>
          <w:sz w:val="32"/>
        </w:rPr>
      </w:pPr>
      <w:r>
        <w:rPr>
          <w:rFonts w:ascii="Times New Roman" w:hAnsi="Times New Roman"/>
          <w:b/>
          <w:sz w:val="32"/>
        </w:rPr>
        <w:t xml:space="preserve">FORM </w:t>
      </w:r>
    </w:p>
    <w:p>
      <w:pPr>
        <w:pStyle w:val="TextBody"/>
        <w:bidi w:val="0"/>
        <w:spacing w:before="80" w:after="0"/>
        <w:jc w:val="center"/>
        <w:rPr>
          <w:rFonts w:ascii="Times New Roman" w:hAnsi="Times New Roman"/>
          <w:b/>
          <w:spacing w:val="0"/>
          <w:sz w:val="32"/>
        </w:rPr>
      </w:pPr>
      <w:r>
        <w:rPr>
          <w:rFonts w:ascii="Times New Roman" w:hAnsi="Times New Roman"/>
          <w:b/>
          <w:spacing w:val="0"/>
          <w:sz w:val="32"/>
        </w:rPr>
        <w:t>S-1</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UNDER </w:t>
      </w:r>
    </w:p>
    <w:p>
      <w:pPr>
        <w:pStyle w:val="TextBody"/>
        <w:bidi w:val="0"/>
        <w:spacing w:before="0" w:after="0"/>
        <w:jc w:val="center"/>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Semnur Pharmaceuticals,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70" w:type="dxa"/>
        <w:jc w:val="left"/>
        <w:tblInd w:w="0" w:type="dxa"/>
        <w:tblLayout w:type="fixed"/>
        <w:tblCellMar>
          <w:top w:w="0" w:type="dxa"/>
          <w:left w:w="0" w:type="dxa"/>
          <w:bottom w:w="0" w:type="dxa"/>
          <w:right w:w="0" w:type="dxa"/>
        </w:tblCellMar>
      </w:tblPr>
      <w:tblGrid>
        <w:gridCol w:w="2285"/>
        <w:gridCol w:w="60"/>
        <w:gridCol w:w="216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b/>
                <w:spacing w:val="0"/>
              </w:rPr>
            </w:pPr>
            <w:r>
              <w:rPr>
                <w:b/>
                <w:spacing w:val="0"/>
              </w:rPr>
              <w:t>2836</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spacing w:val="0"/>
              </w:rPr>
            </w:pPr>
            <w:r>
              <w:rPr>
                <w:b/>
                <w:spacing w:val="0"/>
              </w:rPr>
              <w:t>98-1659463</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2225"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 xml:space="preserve">960 San Antonio Road, </w:t>
            </w:r>
          </w:p>
          <w:p>
            <w:pPr>
              <w:pStyle w:val="TableContents"/>
              <w:bidi w:val="0"/>
              <w:spacing w:before="0" w:after="0"/>
              <w:jc w:val="center"/>
              <w:rPr>
                <w:rFonts w:ascii="Times New Roman" w:hAnsi="Times New Roman"/>
                <w:b/>
                <w:sz w:val="18"/>
              </w:rPr>
            </w:pPr>
            <w:r>
              <w:rPr>
                <w:rFonts w:ascii="Times New Roman" w:hAnsi="Times New Roman"/>
                <w:b/>
                <w:sz w:val="18"/>
              </w:rPr>
              <w:t xml:space="preserve">Palo Alto, </w:t>
            </w:r>
          </w:p>
          <w:p>
            <w:pPr>
              <w:pStyle w:val="TableContents"/>
              <w:bidi w:val="0"/>
              <w:spacing w:before="0" w:after="0"/>
              <w:jc w:val="center"/>
              <w:rPr>
                <w:rFonts w:ascii="Times New Roman" w:hAnsi="Times New Roman"/>
                <w:b/>
                <w:sz w:val="18"/>
              </w:rPr>
            </w:pPr>
            <w:r>
              <w:rPr>
                <w:rFonts w:ascii="Times New Roman" w:hAnsi="Times New Roman"/>
                <w:b/>
                <w:sz w:val="18"/>
              </w:rPr>
              <w:t>CA</w:t>
            </w:r>
          </w:p>
          <w:p>
            <w:pPr>
              <w:pStyle w:val="TableContents"/>
              <w:bidi w:val="0"/>
              <w:spacing w:before="0" w:after="0"/>
              <w:jc w:val="center"/>
              <w:rPr>
                <w:rFonts w:ascii="Times New Roman" w:hAnsi="Times New Roman"/>
                <w:b/>
                <w:sz w:val="18"/>
              </w:rPr>
            </w:pPr>
            <w:r>
              <w:rPr>
                <w:rFonts w:ascii="Times New Roman" w:hAnsi="Times New Roman"/>
                <w:b/>
                <w:sz w:val="18"/>
              </w:rPr>
              <w:t xml:space="preserve">94303 </w:t>
            </w:r>
          </w:p>
          <w:p>
            <w:pPr>
              <w:pStyle w:val="TableContents"/>
              <w:bidi w:val="0"/>
              <w:spacing w:before="0" w:after="20"/>
              <w:jc w:val="center"/>
              <w:rPr>
                <w:rFonts w:ascii="Times New Roman" w:hAnsi="Times New Roman"/>
                <w:b/>
                <w:sz w:val="18"/>
              </w:rPr>
            </w:pPr>
            <w:r>
              <w:rPr>
                <w:rFonts w:ascii="Times New Roman" w:hAnsi="Times New Roman"/>
                <w:b/>
                <w:sz w:val="18"/>
              </w:rPr>
              <w:t>(650) 516-4310</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8"/>
        </w:rPr>
      </w:pPr>
      <w:r>
        <w:rPr>
          <w:rFonts w:ascii="Times New Roman" w:hAnsi="Times New Roman"/>
          <w:b/>
          <w:sz w:val="18"/>
        </w:rPr>
        <w:t xml:space="preserve">Jaisim Shah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960 San Antonio Road,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w:t>
      </w:r>
    </w:p>
    <w:p>
      <w:pPr>
        <w:pStyle w:val="TextBody"/>
        <w:bidi w:val="0"/>
        <w:spacing w:before="0" w:after="0"/>
        <w:jc w:val="center"/>
        <w:rPr>
          <w:rFonts w:ascii="Times New Roman" w:hAnsi="Times New Roman"/>
          <w:b/>
          <w:sz w:val="18"/>
        </w:rPr>
      </w:pPr>
      <w:r>
        <w:rPr>
          <w:rFonts w:ascii="Times New Roman" w:hAnsi="Times New Roman"/>
          <w:b/>
          <w:sz w:val="18"/>
        </w:rPr>
        <w:t>CA</w:t>
      </w:r>
    </w:p>
    <w:p>
      <w:pPr>
        <w:pStyle w:val="TextBody"/>
        <w:bidi w:val="0"/>
        <w:spacing w:before="0" w:after="0"/>
        <w:jc w:val="center"/>
        <w:rPr>
          <w:rFonts w:ascii="Times New Roman" w:hAnsi="Times New Roman"/>
          <w:b/>
          <w:sz w:val="18"/>
        </w:rPr>
      </w:pPr>
      <w:r>
        <w:rPr>
          <w:rFonts w:ascii="Times New Roman" w:hAnsi="Times New Roman"/>
          <w:b/>
          <w:sz w:val="18"/>
        </w:rPr>
        <w:t xml:space="preserve">94303 </w:t>
      </w:r>
    </w:p>
    <w:p>
      <w:pPr>
        <w:pStyle w:val="TextBody"/>
        <w:bidi w:val="0"/>
        <w:spacing w:before="0" w:after="0"/>
        <w:jc w:val="center"/>
        <w:rPr>
          <w:rFonts w:ascii="Times New Roman" w:hAnsi="Times New Roman"/>
          <w:b/>
          <w:sz w:val="18"/>
        </w:rPr>
      </w:pPr>
      <w:r>
        <w:rPr>
          <w:rFonts w:ascii="Times New Roman" w:hAnsi="Times New Roman"/>
          <w:b/>
          <w:sz w:val="18"/>
        </w:rPr>
        <w:t xml:space="preserve">(650) 516-4310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caps w:val="false"/>
          <w:smallCaps w:val="false"/>
          <w:spacing w:val="0"/>
          <w:sz w:val="18"/>
        </w:rPr>
      </w:pPr>
      <w:r>
        <w:rPr>
          <w:rFonts w:ascii="Times New Roman" w:hAnsi="Times New Roman"/>
          <w:b/>
          <w:i/>
          <w:caps w:val="false"/>
          <w:smallCaps w:val="false"/>
          <w:spacing w:val="0"/>
          <w:sz w:val="18"/>
        </w:rPr>
        <w:t xml:space="preserve">Copies to: </w:t>
      </w:r>
    </w:p>
    <w:p>
      <w:pPr>
        <w:pStyle w:val="TextBody"/>
        <w:bidi w:val="0"/>
        <w:spacing w:before="80" w:after="0"/>
        <w:jc w:val="center"/>
        <w:rPr>
          <w:rFonts w:ascii="Times New Roman" w:hAnsi="Times New Roman"/>
          <w:b/>
          <w:spacing w:val="0"/>
          <w:sz w:val="18"/>
        </w:rPr>
      </w:pPr>
      <w:r>
        <w:rPr>
          <w:rFonts w:ascii="Times New Roman" w:hAnsi="Times New Roman"/>
          <w:b/>
          <w:spacing w:val="0"/>
          <w:sz w:val="18"/>
        </w:rPr>
        <w:t xml:space="preserve">Jeffrey T. Hartlin, Esq. </w:t>
      </w:r>
    </w:p>
    <w:p>
      <w:pPr>
        <w:pStyle w:val="TextBody"/>
        <w:bidi w:val="0"/>
        <w:spacing w:before="0" w:after="0"/>
        <w:jc w:val="center"/>
        <w:rPr>
          <w:rFonts w:ascii="Times New Roman" w:hAnsi="Times New Roman"/>
          <w:b/>
          <w:sz w:val="18"/>
        </w:rPr>
      </w:pPr>
      <w:r>
        <w:rPr>
          <w:rFonts w:ascii="Times New Roman" w:hAnsi="Times New Roman"/>
          <w:b/>
          <w:sz w:val="18"/>
        </w:rPr>
        <w:t xml:space="preserve">Elizabeth A. Razzano, Esq. </w:t>
      </w:r>
    </w:p>
    <w:p>
      <w:pPr>
        <w:pStyle w:val="TextBody"/>
        <w:bidi w:val="0"/>
        <w:spacing w:before="80" w:after="0"/>
        <w:jc w:val="center"/>
        <w:rPr>
          <w:rFonts w:ascii="Times New Roman" w:hAnsi="Times New Roman"/>
          <w:b/>
          <w:sz w:val="18"/>
        </w:rPr>
      </w:pPr>
      <w:r>
        <w:rPr>
          <w:rFonts w:ascii="Times New Roman" w:hAnsi="Times New Roman"/>
          <w:b/>
          <w:sz w:val="18"/>
        </w:rPr>
        <w:t xml:space="preserve">Paul Hastings LLP </w:t>
      </w:r>
    </w:p>
    <w:p>
      <w:pPr>
        <w:pStyle w:val="TextBody"/>
        <w:bidi w:val="0"/>
        <w:spacing w:before="0" w:after="0"/>
        <w:jc w:val="center"/>
        <w:rPr>
          <w:rFonts w:ascii="Times New Roman" w:hAnsi="Times New Roman"/>
          <w:b/>
          <w:sz w:val="18"/>
        </w:rPr>
      </w:pPr>
      <w:r>
        <w:rPr>
          <w:rFonts w:ascii="Times New Roman" w:hAnsi="Times New Roman"/>
          <w:b/>
          <w:sz w:val="18"/>
        </w:rPr>
        <w:t xml:space="preserve">1117 S. California Avenue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pacing w:val="0"/>
          <w:sz w:val="18"/>
        </w:rPr>
      </w:pPr>
      <w:r>
        <w:rPr>
          <w:rFonts w:ascii="Times New Roman" w:hAnsi="Times New Roman"/>
          <w:b/>
          <w:spacing w:val="0"/>
          <w:sz w:val="18"/>
        </w:rPr>
        <w:t>Approximate date of commencement of proposed sale to the public</w:t>
      </w:r>
    </w:p>
    <w:p>
      <w:pPr>
        <w:pStyle w:val="TextBody"/>
        <w:bidi w:val="0"/>
        <w:spacing w:before="80" w:after="0"/>
        <w:jc w:val="left"/>
        <w:rPr>
          <w:rFonts w:ascii="Times New Roman" w:hAnsi="Times New Roman"/>
          <w:sz w:val="18"/>
        </w:rPr>
      </w:pPr>
      <w:r>
        <w:rPr>
          <w:rFonts w:ascii="Times New Roman" w:hAnsi="Times New Roman"/>
          <w:sz w:val="18"/>
        </w:rPr>
        <w:t xml:space="preserve">: As soon as practicable after this registration statement becomes effective. If any of the securities being registered on this Form are to be offered on a delayed or continuous basis pursuant to Rule 415 under the Securities Act of 1933,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4250" w:type="dxa"/>
        <w:jc w:val="left"/>
        <w:tblInd w:w="0" w:type="dxa"/>
        <w:tblLayout w:type="fixed"/>
        <w:tblCellMar>
          <w:top w:w="0" w:type="dxa"/>
          <w:left w:w="0" w:type="dxa"/>
          <w:bottom w:w="0" w:type="dxa"/>
          <w:right w:w="0" w:type="dxa"/>
        </w:tblCellMar>
      </w:tblPr>
      <w:tblGrid>
        <w:gridCol w:w="1580"/>
        <w:gridCol w:w="60"/>
        <w:gridCol w:w="230"/>
        <w:gridCol w:w="120"/>
        <w:gridCol w:w="1955"/>
        <w:gridCol w:w="60"/>
        <w:gridCol w:w="245"/>
      </w:tblGrid>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0"/>
              <w:jc w:val="left"/>
              <w:rPr>
                <w:spacing w:val="0"/>
                <w:sz w:val="18"/>
              </w:rPr>
            </w:pPr>
            <w:r>
              <w:rPr>
                <w:spacing w:val="0"/>
                <w:sz w:val="18"/>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spacing w:val="0"/>
                <w:sz w:val="18"/>
              </w:rPr>
            </w:pPr>
            <w:r>
              <w:rPr>
                <w:spacing w:val="0"/>
                <w:sz w:val="18"/>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0"/>
              <w:jc w:val="left"/>
              <w:rPr>
                <w:spacing w:val="0"/>
                <w:sz w:val="18"/>
              </w:rPr>
            </w:pPr>
            <w:r>
              <w:rPr>
                <w:spacing w:val="0"/>
                <w:sz w:val="18"/>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spacing w:val="0"/>
                <w:sz w:val="18"/>
              </w:rPr>
            </w:pPr>
            <w:r>
              <w:rPr>
                <w:spacing w:val="0"/>
                <w:sz w:val="18"/>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spacing w:val="0"/>
                <w:sz w:val="18"/>
              </w:rPr>
            </w:pPr>
            <w:r>
              <w:rPr>
                <w:spacing w:val="0"/>
                <w:sz w:val="18"/>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pacing w:val="0"/>
          <w:sz w:val="18"/>
        </w:rPr>
      </w:pPr>
      <w:r>
        <w:rPr>
          <w:rFonts w:ascii="Times New Roman" w:hAnsi="Times New Roman"/>
          <w:b/>
          <w:spacing w:val="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 SUBJECT TO COMPLETION, DATED December 19, 2025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44"/>
        </w:rPr>
      </w:pPr>
      <w:r>
        <w:rPr>
          <w:rFonts w:ascii="Times New Roman" w:hAnsi="Times New Roman"/>
          <w:b/>
          <w:sz w:val="44"/>
        </w:rPr>
        <w:t xml:space="preserve">SEMNUR PHARMACEUTICALS, INC.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Up to 203,737,349 Shares of Common Stock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Up to 8,760,000 Shares of Common Stock Issuable Upon the Exercise of Warrants </w:t>
      </w:r>
    </w:p>
    <w:p>
      <w:pPr>
        <w:pStyle w:val="TextBody"/>
        <w:bidi w:val="0"/>
        <w:spacing w:before="0" w:after="0"/>
        <w:ind w:left="960" w:right="960" w:hanging="0"/>
        <w:jc w:val="center"/>
        <w:rPr>
          <w:rFonts w:ascii="Times New Roman" w:hAnsi="Times New Roman"/>
          <w:b/>
          <w:sz w:val="24"/>
        </w:rPr>
      </w:pPr>
      <w:r>
        <w:rPr>
          <w:rFonts w:ascii="Times New Roman" w:hAnsi="Times New Roman"/>
          <w:b/>
          <w:sz w:val="24"/>
        </w:rPr>
        <w:t xml:space="preserve">Up to 510,000 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issuance by us of up to an aggregate of 8,760,000 shares of our common stock, par value $0.0001 per share (“Common Stock”), issuable upon the exercise of (i) 510,000 private placement warrants (the “Private Warrants” and such shares issuable upon exercise, the “Private Warrant Shares”) originally sold in a private placement in connection with the initial public offering of Denali Capital Acquisition Corp. (“Denali”) and (ii) 8,250,000 public warrants (the “Public Warrants” and such shares issuable upon exercise, the “Public Warrant Shares”) originally sold to the public investors in connection with the initial public offering of Denali (the Public Warrants and the Private Warrants being referred to herein together as the “Warrants”). We will not receive the proceeds from the resale of the Private Warrant Shares or the Public Warrant Shares hereunder; however, we will receive the proceeds from the exercise of any Private Warrants and the Public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also relates to the offer and sale from time to time by: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(a) the selling stockholders named in this prospectus (including their permitted transferees, donees, pledgees and other successors-in-interest) (collectively, the “Selling Stockholders”) of up to an aggregate of 203,737,349 shares of our Common Stock (the “Resale Shares”), consisting of: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(i) up to 2,072,500 shares of Common Stock (the “Sponsor Shares”) held by Jiandong “Peter” Xu, FutureTech Capital LLC (“FutureTech”) (such holdings of Jiandong “Peter” Xu and FutureTech were transferred to such parties by Denali Capital Global Investments LLC prior to the closing of the Business Combination), Huifeng Chang, Lei Huang, Jim Mao, You “Patrick” Sun and Kevin Vassily that were issued on September 22, 2025 upon conversion of the same number of our former ordinary shares in connection with the Domestication and the Business Combination (each as defined below);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(ii) up to 510,000 Private Warrant Shares;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(iii) up to 188,554,849 shares of Common Stock (the “Scilex Shares”) held by Scilex Holding Company (“Scilex”) and certain of its subsidiaries;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(iv) up to 100,000 shares of Common Stock (the “Underwriter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Inc. (“US Tiger”) and D. Boral Capital, LLC (f/k/a EF Hutton LLC) (“D. Boral”), which such deferred discount was subsequently amended by the Satisfaction and Discharge Agreements Denali entered into with each of US Tiger and D. Boral on September 22, 2025 immediately prior to the consummation of the Business Combination; and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(v) up to 12,500,000 shares of Common Stock (the “Biconomy Resale Shares”) held by Biconomy PTE.LTD; and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(b) the selling warrantholder named in this prospectus (including such warrantholder’s permitted transferees, donees, pledgees and other successors-in-interest) (collectively, the “Selling Warrantholders” and, together with the Selling Stockholders, the “Selling Securityholders”) of up to 510,000 Private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On September 22, 2025, we consummated the previously announced business combination (the “Business Combination”) pursuant to that certain Agreement and Plan of Merger, dated as of August 30, 2024 (as amended, restated or supplemented from time to time, including by Amendment No. 1 to Agreement and Plan of Merger, dated as of April 16, 2025 and Amendment No. 2 to Agreement and Plan of Merger, dated as of July 22, 2025)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Agreement”), by and among us, Denali Merger Sub Inc., our then-wholly owned subsidiary (the “Merger Sub”), and the pre-Business Combination Semnur Pharmaceuticals, Inc. (now known as Semnur, Inc., “Legacy Semnur”). We are registering the issuance by us of up to 8,250,000 shares of Common Stock upon the exercise of the Public Warrants as required under the terms of the Warrant Agreement, dated as of April 6, 2022, between Denali Capital Acquisition Corp. (now known as Semnur Pharmaceuticals, Inc.), and VStock Transfer, LLC (“VStock”), as warrant agent, which governs the Public Warrants. We are also registering the resale of the Sponsor Shares, the Merger Shares, the Private Warrant Shares and the Private Warrants as required by that certain Amended and Restated Registration Rights Agreement by and among us, the Sponsors and certain other stockholders, dated September 22, 2025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Our registration of the Resale Shares and the Private Warrants covered by this prospectus does not mean that the Selling Securityholders will offer or sell any of the Resale Shares or the Private Warrants. The Selling Securityholders may sell the Resale Shares and the Private Warrants covered by this prospectus in a number of different ways and at varying prices. For additional information on the possible methods of sale that may be used by the Selling Securityholders, you should refer to the section of this prospectus titled “</w:t>
      </w:r>
      <w:r>
        <w:rPr>
          <w:rFonts w:ascii="Times New Roman" w:hAnsi="Times New Roman"/>
          <w:i/>
          <w:sz w:val="20"/>
        </w:rPr>
        <w:t>Plan of Distribution</w:t>
      </w:r>
      <w:r>
        <w:rPr>
          <w:rFonts w:ascii="Times New Roman" w:hAnsi="Times New Roman"/>
          <w:sz w:val="20"/>
        </w:rPr>
        <w:t xml:space="preserve">” beginning on page 178 of this prospectus. We will receive the proceeds from any exercise of the Warrants for cash, but will not receive any of the proceeds from the resale of the Resale Shares or the Private Warrants sold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or other person has been engaged to facilitate the sale of the shares of our Common Stock or the Warrants in these offerings. The Selling Securityholders may be deemed to be “underwriters” within the meaning of Section 2(a)(11) of the Securities Act of 1933, as amended (the “Securities Act”) of the Resale Shares and the Private Warrants that they are offering pursuant to this prospectus. We will bear all costs, expenses and fees in connection with the registration of the shares of our Common Stock and Warrants hereunder. The Selling Securityholders will bear all commissions and discounts, if any, attributable to their respective sales of the Resale Shares and the Private Warrants.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Public Warrants trade on the Pink Limited Market of the OTC Markets Group, Inc. under the symbols “SMNR” and “SMNRW”, respectively. On December 17, 2025, the last reported sales price per share of our Common Stock was $20.00. On December 17, 2025, the last reported sales price per warrant of our Public Warrants was $0.15.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that term is used in the Jumpstart Our Business Startups Act of 2012 (the “JOBS Act”) and, as such, we have elected to comply with certain reduced public company reporting requirements for this prospectus and future filings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this prospectus, together with additional information described under the heading “Where You Can Find More Information”, and any amendments or supplements carefully before you invest in any of our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COMMON STOCK INVOLVES SUBSTANTIAL RISKS. YOU SHOULD REVIEW CAREFULLY THE RISKS AND UNCERTAINTIES DESCRIBED UNDER THE HEADING “</w:t>
      </w:r>
      <w:hyperlink w:anchor="tx63562_6">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 xml:space="preserve">BEGINNING ON PAGE 14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15"/>
        <w:gridCol w:w="120"/>
        <w:gridCol w:w="94"/>
        <w:gridCol w:w="601"/>
        <w:gridCol w:w="75"/>
      </w:tblGrid>
      <w:tr>
        <w:trPr/>
        <w:tc>
          <w:tcPr>
            <w:tcW w:w="9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2">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3">
              <w:r>
                <w:rPr>
                  <w:rStyle w:val="InternetLink"/>
                  <w:rFonts w:ascii="Times New Roman" w:hAnsi="Times New Roman"/>
                  <w:sz w:val="20"/>
                </w:rPr>
                <w:t>FREQUENTLY USED TERMS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4">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5">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6">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7">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91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8">
              <w:r>
                <w:rPr>
                  <w:rStyle w:val="InternetLink"/>
                  <w:rFonts w:ascii="Times New Roman" w:hAnsi="Times New Roman"/>
                  <w:sz w:val="20"/>
                </w:rPr>
                <w:t>MATERIAL U.S. FEDERAL INCOME TAX CONSEQUENCES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92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0">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100</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1">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112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2">
              <w:r>
                <w:rPr>
                  <w:rStyle w:val="InternetLink"/>
                  <w:rFonts w:ascii="Times New Roman" w:hAnsi="Times New Roman"/>
                  <w:sz w:val="20"/>
                </w:rPr>
                <w:t>EXECUTIVE AND DIRECTOR COMPENSATION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3">
              <w:r>
                <w:rPr>
                  <w:rStyle w:val="InternetLink"/>
                  <w:rFonts w:ascii="Times New Roman" w:hAnsi="Times New Roman"/>
                  <w:sz w:val="20"/>
                </w:rPr>
                <w:t>DIRECTORS AND EXECUTIVE OFFICERS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161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4">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5">
              <w:r>
                <w:rPr>
                  <w:rStyle w:val="InternetLink"/>
                  <w:rFonts w:ascii="Times New Roman" w:hAnsi="Times New Roman"/>
                  <w:sz w:val="20"/>
                </w:rPr>
                <w:t>SELLING SECURITYHOLDERS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176</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6">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178</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7">
              <w:r>
                <w:rPr>
                  <w:rStyle w:val="InternetLink"/>
                  <w:rFonts w:ascii="Times New Roman" w:hAnsi="Times New Roman"/>
                  <w:sz w:val="20"/>
                </w:rPr>
                <w:t>DESCRIPTION OF SECURITIES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182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8">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194</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19">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201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20">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201</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22">
              <w:r>
                <w:rPr>
                  <w:rStyle w:val="InternetLink"/>
                  <w:rFonts w:ascii="Times New Roman" w:hAnsi="Times New Roman"/>
                  <w:sz w:val="20"/>
                </w:rPr>
                <w:t>TRANSFER AGENT AND REGISTRAR</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23">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202</w:t>
            </w:r>
          </w:p>
        </w:tc>
        <w:tc>
          <w:tcPr>
            <w:tcW w:w="75" w:type="dxa"/>
            <w:tcBorders/>
            <w:vAlign w:val="center"/>
          </w:tcPr>
          <w:p>
            <w:pPr>
              <w:pStyle w:val="TableContents"/>
              <w:bidi w:val="0"/>
              <w:spacing w:before="0" w:after="283"/>
              <w:jc w:val="left"/>
              <w:rPr/>
            </w:pPr>
            <w:r>
              <w:rPr/>
              <w:t> </w:t>
            </w:r>
          </w:p>
        </w:tc>
      </w:tr>
      <w:tr>
        <w:trPr/>
        <w:tc>
          <w:tcPr>
            <w:tcW w:w="9315" w:type="dxa"/>
            <w:tcBorders/>
            <w:vAlign w:val="center"/>
          </w:tcPr>
          <w:p>
            <w:pPr>
              <w:pStyle w:val="TableContents"/>
              <w:bidi w:val="0"/>
              <w:spacing w:before="0" w:after="0"/>
              <w:jc w:val="left"/>
              <w:rPr/>
            </w:pPr>
            <w:hyperlink w:anchor="tx63562_24gg">
              <w:r>
                <w:rPr>
                  <w:rStyle w:val="InternetLink"/>
                  <w:rFonts w:ascii="Times New Roman" w:hAnsi="Times New Roman"/>
                  <w:sz w:val="20"/>
                </w:rPr>
                <w:t>INDEX TO FINANCIAL STATEMENTS</w:t>
              </w:r>
            </w:hyperlink>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6356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2025, we consummated the previously-announced Business Combination pursuant to the Merger Agreement, by and among us, Merger Sub and Legacy Semnur. Pursuant to the terms of the Merger Agreement, we effected a deregistration under the Cayman Islands Companies Act (as revised) and a domestication under Section 388 of the Delaware General Corporation Law, as amended (the “DGCL”), pursuant to which our jurisdiction of incorporation was changed from the Cayman Islands to the State of Delaware (the “Domestication”), and, on the terms and subject to the conditions set forth in the Merger Agreement and in accordance with the DGCL, Merger Sub merged with and into Legacy Semnur (the “Merger” or the “Business Combination”), with Legacy Semnur surviving as our wholly owned subsidiary. In connection with the Business Combination, we changed our name from Denali Capital Acquisition Corp. to Semnur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references in this prospectus to the “Company,” “Semnur,” “we,” “us,” “our,” and similar terms refer to Semnur Pharmaceuticals, Inc., a Delaware corporation formerly known as Denali Capital Acquisition Corp., and its consolidated subsidiaries. References to “Legacy Semnur” refer to the private Delaware corporation that is now our wholly owned subsidiary, named Semnur, Inc. (formerly known as Semnur Pharmaceuticals, Inc.).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63562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Certain statements contained in this prospectus may constitute “forward-looking statements” for purposes of federal securities laws. Such statements can be identified by the fact that they do not relate strictly to historical or current facts. Forward-looking statements appear in a number of places in this prospectus including, without limitation, in the sections of titled “</w:t>
      </w:r>
      <w:r>
        <w:rPr>
          <w:rFonts w:ascii="Times New Roman" w:hAnsi="Times New Roman"/>
          <w:i/>
          <w:sz w:val="20"/>
        </w:rPr>
        <w:t>Business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prospectus and our management’s current expectations, forecasts and assumptions, and involve a number of judgments, known and unknown risks, uncertainties or other assumptions and other factors, many of which are outside the control of the Company and our directors, officers and affiliates, that may cause actual results or performance to be materially different from those expressed or implied by these forward-looking statements. These risks and uncertainties include, but are not limited to, those factors described under the heading “Risk Factors” in this prospectus. There can be no assurance that future developments will be those that have been anticipated. Accordingly, forward-looking statements should not be relied upon as representing our views as of any subsequent date.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w:t>
      </w:r>
      <w:r>
        <w:rPr>
          <w:rFonts w:ascii="Times New Roman" w:hAnsi="Times New Roman"/>
          <w:i/>
          <w:sz w:val="20"/>
        </w:rPr>
        <w:t>Risk Factors</w:t>
      </w:r>
      <w:r>
        <w:rPr>
          <w:rFonts w:ascii="Times New Roman" w:hAnsi="Times New Roman"/>
          <w:sz w:val="20"/>
        </w:rPr>
        <w:t xml:space="preserve">,” those discussed and identified in public filings made with the SEC by Semnur and the following: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the listing of our Common Stock on Nasdaq;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liquidity and trading;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proceeds from future issuances of equity or convertible debt securities;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including our revenue, costs of revenue and operating expenses;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our operations, debt service requirements and capital expenditures;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us;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directors, officers, employees and key personnel;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in a highly competitive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competition from larger biotechnology companies that have greater resources, technology, relationships and/or expertise;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protect and enhance our corporate reputation and brand;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from future regulatory, judicial and legislative changes in our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anticipated regulatory and legal developments in the United States and foreign countries in which we may seek regulatory approval for our product candidates in the future;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any of our products and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research, discover and develop additional product candidates;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and not infringe on the rights of others;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business plans and strategy;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prevent, respond to, and recover from a cybersecurity incident;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geopolitical conflicts or new or increased international tariffs, including mitigation efforts and economic effects, on any of the foregoing or other aspects of our business operations, including but not limited to our clinical studies and clinical trials;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economic and political developments, including the conflicts in Ukraine and Israel;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related to crypto assets and crypto asset markets;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we are an investment company under the Investment Company Act of 1940;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adopt and execute on our new cryptocurrency treasury strategy;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the accounting treatment of cryptocurrency holdings; and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of this prospectus titled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these risks or uncertainties materialize or should any of the assumptions made by the management Semnur prove incorrect, actual results may vary in material respects from those projected in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63562_3"/>
      <w:bookmarkEnd w:id="5"/>
      <w:r>
        <w:rPr>
          <w:rFonts w:ascii="Times New Roman" w:hAnsi="Times New Roman"/>
          <w:b/>
          <w:sz w:val="20"/>
        </w:rPr>
        <w:t xml:space="preserve">FREQUENTLY USED TERMS </w:t>
      </w:r>
    </w:p>
    <w:p>
      <w:pPr>
        <w:pStyle w:val="TextBody"/>
        <w:bidi w:val="0"/>
        <w:spacing w:before="240" w:after="0"/>
        <w:jc w:val="left"/>
        <w:rPr>
          <w:rFonts w:ascii="Times New Roman" w:hAnsi="Times New Roman"/>
          <w:sz w:val="20"/>
        </w:rPr>
      </w:pPr>
      <w:r>
        <w:rPr>
          <w:rFonts w:ascii="Times New Roman" w:hAnsi="Times New Roman"/>
          <w:sz w:val="20"/>
        </w:rPr>
        <w:t>Unless otherwise stated in this prospectus, the terms, “</w:t>
      </w:r>
      <w:r>
        <w:rPr>
          <w:rFonts w:ascii="Times New Roman" w:hAnsi="Times New Roman"/>
          <w:i/>
          <w:sz w:val="20"/>
        </w:rPr>
        <w:t>we</w:t>
      </w:r>
      <w:r>
        <w:rPr>
          <w:rFonts w:ascii="Times New Roman" w:hAnsi="Times New Roman"/>
          <w:sz w:val="20"/>
        </w:rPr>
        <w:t>,” “</w:t>
      </w:r>
      <w:r>
        <w:rPr>
          <w:rFonts w:ascii="Times New Roman" w:hAnsi="Times New Roman"/>
          <w:i/>
          <w:sz w:val="20"/>
        </w:rPr>
        <w:t>us</w:t>
      </w:r>
      <w:r>
        <w:rPr>
          <w:rFonts w:ascii="Times New Roman" w:hAnsi="Times New Roman"/>
          <w:sz w:val="20"/>
        </w:rPr>
        <w:t>,” “</w:t>
      </w:r>
      <w:r>
        <w:rPr>
          <w:rFonts w:ascii="Times New Roman" w:hAnsi="Times New Roman"/>
          <w:i/>
          <w:sz w:val="20"/>
        </w:rPr>
        <w:t>our</w:t>
      </w:r>
      <w:r>
        <w:rPr>
          <w:rFonts w:ascii="Times New Roman" w:hAnsi="Times New Roman"/>
          <w:sz w:val="20"/>
        </w:rPr>
        <w:t>” or “</w:t>
      </w:r>
      <w:r>
        <w:rPr>
          <w:rFonts w:ascii="Times New Roman" w:hAnsi="Times New Roman"/>
          <w:i/>
          <w:sz w:val="20"/>
        </w:rPr>
        <w:t>Semnur</w:t>
      </w:r>
      <w:r>
        <w:rPr>
          <w:rFonts w:ascii="Times New Roman" w:hAnsi="Times New Roman"/>
          <w:sz w:val="20"/>
        </w:rPr>
        <w:t xml:space="preserve">” refer to Semnur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Further, in this document: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pPr>
            <w:r>
              <w:rPr/>
              <w:t>“</w:t>
            </w:r>
            <w:r>
              <w:rPr>
                <w:rFonts w:ascii="Times New Roman" w:hAnsi="Times New Roman"/>
                <w:i/>
                <w:sz w:val="20"/>
              </w:rPr>
              <w:t>2024 Stock Option Plan</w:t>
            </w:r>
            <w:r>
              <w:rPr>
                <w:rFonts w:ascii="Times New Roman" w:hAnsi="Times New Roman"/>
                <w:sz w:val="20"/>
              </w:rPr>
              <w:t xml:space="preserve">” means the Semnur Pharmaceuticals, Inc. 2024 Stock Option Plan.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pPr>
            <w:r>
              <w:rPr/>
              <w:t>“</w:t>
            </w:r>
            <w:r>
              <w:rPr>
                <w:rFonts w:ascii="Times New Roman" w:hAnsi="Times New Roman"/>
                <w:i/>
                <w:sz w:val="20"/>
              </w:rPr>
              <w:t>Biconomy</w:t>
            </w:r>
            <w:r>
              <w:rPr>
                <w:rFonts w:ascii="Times New Roman" w:hAnsi="Times New Roman"/>
                <w:sz w:val="20"/>
              </w:rPr>
              <w:t xml:space="preserve">” means Biconomy PTE.LTD.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Biconomy Shares</w:t>
            </w:r>
            <w:r>
              <w:rPr>
                <w:rFonts w:ascii="Times New Roman" w:hAnsi="Times New Roman"/>
                <w:sz w:val="20"/>
              </w:rPr>
              <w:t xml:space="preserve">” means the 6,250,000 shares of Common Stock that will become issuable to Biconomy upon the closing of the Biconomy SPA.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Biconomy SPA</w:t>
            </w:r>
            <w:r>
              <w:rPr>
                <w:rFonts w:ascii="Times New Roman" w:hAnsi="Times New Roman"/>
                <w:sz w:val="20"/>
              </w:rPr>
              <w:t xml:space="preserve">” means the Securities Purchase Agreement, dated as of September 23, 2025, by and between Biconomy and Semnur.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Biconomy Resale Shares</w:t>
            </w:r>
            <w:r>
              <w:rPr>
                <w:rFonts w:ascii="Times New Roman" w:hAnsi="Times New Roman"/>
                <w:sz w:val="20"/>
              </w:rPr>
              <w:t xml:space="preserve">” means the 12,500,000 shares of Common Stock sold to Biconomy PTE.LTD by Scilex and Scilex, Inc. pursuant to the Biconomy Resale SPA, .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Biconomy Resale SPA</w:t>
            </w:r>
            <w:r>
              <w:rPr>
                <w:rFonts w:ascii="Times New Roman" w:hAnsi="Times New Roman"/>
                <w:sz w:val="20"/>
              </w:rPr>
              <w:t xml:space="preserve">” means the Securities Purchase Agreement, dated as of September 23, 2025, by and among Biconomy, Scilex, Scilex, Inc. and Semnur, solely with respect to Section 5 thereof.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pPr>
            <w:r>
              <w:rPr/>
              <w:t>“</w:t>
            </w:r>
            <w:r>
              <w:rPr>
                <w:rFonts w:ascii="Times New Roman" w:hAnsi="Times New Roman"/>
                <w:i/>
                <w:sz w:val="20"/>
              </w:rPr>
              <w:t>Board</w:t>
            </w:r>
            <w:r>
              <w:rPr>
                <w:rFonts w:ascii="Times New Roman" w:hAnsi="Times New Roman"/>
                <w:sz w:val="20"/>
              </w:rPr>
              <w:t xml:space="preserve">” means the board of directors of Semnur.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Business Combination</w:t>
            </w:r>
            <w:r>
              <w:rPr>
                <w:rFonts w:ascii="Times New Roman" w:hAnsi="Times New Roman"/>
                <w:sz w:val="20"/>
              </w:rPr>
              <w:t xml:space="preserve">” means the merger and transactions contemplated by the Merger Agreement, which closed on September 22, 2025.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pPr>
            <w:r>
              <w:rPr/>
              <w:t>“</w:t>
            </w:r>
            <w:r>
              <w:rPr>
                <w:rFonts w:ascii="Times New Roman" w:hAnsi="Times New Roman"/>
                <w:i/>
                <w:sz w:val="20"/>
              </w:rPr>
              <w:t>Bylaws</w:t>
            </w:r>
            <w:r>
              <w:rPr>
                <w:rFonts w:ascii="Times New Roman" w:hAnsi="Times New Roman"/>
                <w:sz w:val="20"/>
              </w:rPr>
              <w:t xml:space="preserve">” means the Bylaws of Semnur Pharmaceuticals, Inc., effective as of September 22,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Certificate of Designations</w:t>
            </w:r>
            <w:r>
              <w:rPr>
                <w:rFonts w:ascii="Times New Roman" w:hAnsi="Times New Roman"/>
                <w:sz w:val="20"/>
              </w:rPr>
              <w:t xml:space="preserve">” means the Certificate of Designations of Semnur Pharmaceuticals, Inc. designating the series of preferred stock, par value $0.0001 per share, of the Company as “Series A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Charter</w:t>
            </w:r>
            <w:r>
              <w:rPr>
                <w:rFonts w:ascii="Times New Roman" w:hAnsi="Times New Roman"/>
                <w:sz w:val="20"/>
              </w:rPr>
              <w:t xml:space="preserve">” means the Restated Certificate of Incorporation of Semnur Pharmaceuticals, Inc., filed with the Secretary of the State of Delaware on September 22, 2025.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pPr>
            <w:r>
              <w:rPr/>
              <w:t>“</w:t>
            </w:r>
            <w:r>
              <w:rPr>
                <w:rFonts w:ascii="Times New Roman" w:hAnsi="Times New Roman"/>
                <w:i/>
                <w:sz w:val="20"/>
              </w:rPr>
              <w:t>Closing</w:t>
            </w:r>
            <w:r>
              <w:rPr>
                <w:rFonts w:ascii="Times New Roman" w:hAnsi="Times New Roman"/>
                <w:sz w:val="20"/>
              </w:rPr>
              <w:t xml:space="preserve">” means the closing of the Business Combination.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pPr>
            <w:r>
              <w:rPr/>
              <w:t>“</w:t>
            </w:r>
            <w:r>
              <w:rPr>
                <w:rFonts w:ascii="Times New Roman" w:hAnsi="Times New Roman"/>
                <w:i/>
                <w:sz w:val="20"/>
              </w:rPr>
              <w:t>Closing Date</w:t>
            </w:r>
            <w:r>
              <w:rPr>
                <w:rFonts w:ascii="Times New Roman" w:hAnsi="Times New Roman"/>
                <w:sz w:val="20"/>
              </w:rPr>
              <w:t xml:space="preserve">” means date of the Closing.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pPr>
            <w:r>
              <w:rPr/>
              <w:t>“</w:t>
            </w:r>
            <w:r>
              <w:rPr>
                <w:rFonts w:ascii="Times New Roman" w:hAnsi="Times New Roman"/>
                <w:i/>
                <w:sz w:val="20"/>
              </w:rPr>
              <w:t>Common Stock</w:t>
            </w:r>
            <w:r>
              <w:rPr>
                <w:rFonts w:ascii="Times New Roman" w:hAnsi="Times New Roman"/>
                <w:sz w:val="20"/>
              </w:rPr>
              <w:t xml:space="preserve">” means the common stock of Semnur, par value $0.0001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Consulting Services Agreements</w:t>
            </w:r>
            <w:r>
              <w:rPr>
                <w:rFonts w:ascii="Times New Roman" w:hAnsi="Times New Roman"/>
                <w:sz w:val="20"/>
              </w:rPr>
              <w:t xml:space="preserve">” means the following agreements (i) the Consulting Services Agreement, dated August 26, 2024, between Semnur and Wise Orient Investments Limited (as amended), (ii) the Consulting Services Agreement, dated August 25, 2024, between Semnur and 450W42ND MIMA, LLC (as amended), (iii) the Advisory Services Agreement, dated June 12, 2025, between Semnur and JW Investment Management Company Limited (as amended), and (iv) the Stock Issuance Agreement dated July 22, 2025, between Semnur and the law firm named therein, in each case as may be amended, amended and restated, supplemented or otherwise modified in accordance with its terms.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pPr>
            <w:r>
              <w:rPr/>
              <w:t>“</w:t>
            </w:r>
            <w:r>
              <w:rPr>
                <w:rFonts w:ascii="Times New Roman" w:hAnsi="Times New Roman"/>
                <w:i/>
                <w:sz w:val="20"/>
              </w:rPr>
              <w:t>D. Boral</w:t>
            </w:r>
            <w:r>
              <w:rPr>
                <w:rFonts w:ascii="Times New Roman" w:hAnsi="Times New Roman"/>
                <w:sz w:val="20"/>
              </w:rPr>
              <w:t xml:space="preserve">” means D. Boral Capital, LLC, f/k/a EF Hutton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Debt Exchange Agreement</w:t>
            </w:r>
            <w:r>
              <w:rPr>
                <w:rFonts w:ascii="Times New Roman" w:hAnsi="Times New Roman"/>
                <w:sz w:val="20"/>
              </w:rPr>
              <w:t xml:space="preserve">” means the Contribution and Satisfaction of Indebtedness Agreement, dated as of August 30, 2024, by and between Semnur and Scilex.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pPr>
            <w:r>
              <w:rPr/>
              <w:t>“</w:t>
            </w:r>
            <w:r>
              <w:rPr>
                <w:rFonts w:ascii="Times New Roman" w:hAnsi="Times New Roman"/>
                <w:i/>
                <w:sz w:val="20"/>
              </w:rPr>
              <w:t>Denali</w:t>
            </w:r>
            <w:r>
              <w:rPr>
                <w:rFonts w:ascii="Times New Roman" w:hAnsi="Times New Roman"/>
                <w:sz w:val="20"/>
              </w:rPr>
              <w:t xml:space="preserve">” means Denali Capital Acquisition Corp., our predecessor.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Denali Private Placement Units</w:t>
            </w:r>
            <w:r>
              <w:rPr>
                <w:rFonts w:ascii="Times New Roman" w:hAnsi="Times New Roman"/>
                <w:sz w:val="20"/>
              </w:rPr>
              <w:t xml:space="preserve">” means the units comprised of one ordinary share of Denali and one warrant to purchase one ordinary share that were issued to the Sponsor in a private placement concurrent with the IPO.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left"/>
              <w:rPr/>
            </w:pPr>
            <w:r>
              <w:rPr/>
              <w:t>“</w:t>
            </w:r>
            <w:r>
              <w:rPr>
                <w:rFonts w:ascii="Times New Roman" w:hAnsi="Times New Roman"/>
                <w:i/>
                <w:sz w:val="20"/>
              </w:rPr>
              <w:t>DGCL</w:t>
            </w:r>
            <w:r>
              <w:rPr>
                <w:rFonts w:ascii="Times New Roman" w:hAnsi="Times New Roman"/>
                <w:sz w:val="20"/>
              </w:rPr>
              <w:t xml:space="preserve">” means the General Corporation Law of the State of Delaware,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Domestication</w:t>
            </w:r>
            <w:r>
              <w:rPr>
                <w:rFonts w:ascii="Times New Roman" w:hAnsi="Times New Roman"/>
                <w:sz w:val="20"/>
              </w:rPr>
              <w:t xml:space="preserve">” means the change of the domicile of Denali pursuant to a transfer by way of continuation of an exempted company out of the Cayman Islands and a domestication into the State of Delaware as a corporation, and the de-registration of Denali in the Cayman Islands.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pPr>
            <w:r>
              <w:rPr/>
              <w:t>“</w:t>
            </w:r>
            <w:r>
              <w:rPr>
                <w:rFonts w:ascii="Times New Roman" w:hAnsi="Times New Roman"/>
                <w:i/>
                <w:sz w:val="20"/>
              </w:rPr>
              <w:t>Effective Time</w:t>
            </w:r>
            <w:r>
              <w:rPr>
                <w:rFonts w:ascii="Times New Roman" w:hAnsi="Times New Roman"/>
                <w:sz w:val="20"/>
              </w:rPr>
              <w:t xml:space="preserve">” means the time at which the Business Combination became effective.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pPr>
            <w:r>
              <w:rPr/>
              <w:t>“</w:t>
            </w:r>
            <w:r>
              <w:rPr>
                <w:rFonts w:ascii="Times New Roman" w:hAnsi="Times New Roman"/>
                <w:i/>
                <w:sz w:val="20"/>
              </w:rPr>
              <w:t>HSR Act</w:t>
            </w:r>
            <w:r>
              <w:rPr>
                <w:rFonts w:ascii="Times New Roman" w:hAnsi="Times New Roman"/>
                <w:sz w:val="20"/>
              </w:rPr>
              <w:t xml:space="preserve">” means the Hart-Scott-Rodino Antitrust Improvements Act of 1976, as amended.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pPr>
            <w:r>
              <w:rPr/>
              <w:t>“</w:t>
            </w:r>
            <w:r>
              <w:rPr>
                <w:rFonts w:ascii="Times New Roman" w:hAnsi="Times New Roman"/>
                <w:i/>
                <w:sz w:val="20"/>
              </w:rPr>
              <w:t>IPO</w:t>
            </w:r>
            <w:r>
              <w:rPr>
                <w:rFonts w:ascii="Times New Roman" w:hAnsi="Times New Roman"/>
                <w:sz w:val="20"/>
              </w:rPr>
              <w:t xml:space="preserve">” refers to the initial public offering of 8,250,000 Public Units of Denali consummated on April 11, 2022.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w:t>
            </w:r>
            <w:r>
              <w:rPr>
                <w:rFonts w:ascii="Times New Roman" w:hAnsi="Times New Roman"/>
                <w:i/>
                <w:sz w:val="20"/>
              </w:rPr>
              <w:t>IRS</w:t>
            </w:r>
            <w:r>
              <w:rPr>
                <w:rFonts w:ascii="Times New Roman" w:hAnsi="Times New Roman"/>
                <w:sz w:val="20"/>
              </w:rPr>
              <w:t xml:space="preserve">” means the United States Internal Revenue Service.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pPr>
            <w:r>
              <w:rPr/>
              <w:t>“</w:t>
            </w:r>
            <w:r>
              <w:rPr>
                <w:rFonts w:ascii="Times New Roman" w:hAnsi="Times New Roman"/>
                <w:i/>
                <w:sz w:val="20"/>
              </w:rPr>
              <w:t>Nasdaq</w:t>
            </w:r>
            <w:r>
              <w:rPr>
                <w:rFonts w:ascii="Times New Roman" w:hAnsi="Times New Roman"/>
                <w:sz w:val="20"/>
              </w:rPr>
              <w:t xml:space="preserve">” means The Nasdaq Stock Market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Nasdaq De-Listing</w:t>
            </w:r>
            <w:r>
              <w:rPr>
                <w:rFonts w:ascii="Times New Roman" w:hAnsi="Times New Roman"/>
                <w:sz w:val="20"/>
              </w:rPr>
              <w:t xml:space="preserve">” means the de-listing of the Public Units, Denali Class A Ordinary Shares and Public Warrants from trading on Nasdaq for any reason, including due to the failure of Denali to satisfy Nasdaq’s continued listing requirements pursuant to Nasdaq Listing Rule 5450(b)(2)(A) and Listing Rule IM-5101-2(b).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pPr>
            <w:r>
              <w:rPr/>
              <w:t>“</w:t>
            </w:r>
            <w:r>
              <w:rPr>
                <w:rFonts w:ascii="Times New Roman" w:hAnsi="Times New Roman"/>
                <w:i/>
                <w:sz w:val="20"/>
              </w:rPr>
              <w:t>Nasdaq Listing Rules</w:t>
            </w:r>
            <w:r>
              <w:rPr>
                <w:rFonts w:ascii="Times New Roman" w:hAnsi="Times New Roman"/>
                <w:sz w:val="20"/>
              </w:rPr>
              <w:t xml:space="preserve">” means the rules and listing standards of Nasdaq.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pPr>
            <w:r>
              <w:rPr/>
              <w:t>“</w:t>
            </w:r>
            <w:r>
              <w:rPr>
                <w:rFonts w:ascii="Times New Roman" w:hAnsi="Times New Roman"/>
                <w:i/>
                <w:sz w:val="20"/>
              </w:rPr>
              <w:t>Oramed</w:t>
            </w:r>
            <w:r>
              <w:rPr>
                <w:rFonts w:ascii="Times New Roman" w:hAnsi="Times New Roman"/>
                <w:sz w:val="20"/>
              </w:rPr>
              <w:t xml:space="preserve">” means Oramed Pharmaceuticals,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Oramed Note</w:t>
            </w:r>
            <w:r>
              <w:rPr>
                <w:rFonts w:ascii="Times New Roman" w:hAnsi="Times New Roman"/>
                <w:sz w:val="20"/>
              </w:rPr>
              <w:t xml:space="preserve">” means that certain Senior Secured Promissory Note, dated September 21, 2023, issued by Scilex to Oramed, as amended.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pPr>
            <w:r>
              <w:rPr/>
              <w:t>“</w:t>
            </w:r>
            <w:r>
              <w:rPr>
                <w:rFonts w:ascii="Times New Roman" w:hAnsi="Times New Roman"/>
                <w:i/>
                <w:sz w:val="20"/>
              </w:rPr>
              <w:t>OTC Markets</w:t>
            </w:r>
            <w:r>
              <w:rPr>
                <w:rFonts w:ascii="Times New Roman" w:hAnsi="Times New Roman"/>
                <w:sz w:val="20"/>
              </w:rPr>
              <w:t xml:space="preserve">” means the OTC Markets Group,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OTC Markets Listing Date</w:t>
            </w:r>
            <w:r>
              <w:rPr>
                <w:rFonts w:ascii="Times New Roman" w:hAnsi="Times New Roman"/>
                <w:sz w:val="20"/>
              </w:rPr>
              <w:t xml:space="preserve">” means the first date on which the Public Units, Denali Class A Ordinary Shares and Public Warrants commenced trading on the OTC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Preferred Stock</w:t>
            </w:r>
            <w:r>
              <w:rPr>
                <w:rFonts w:ascii="Times New Roman" w:hAnsi="Times New Roman"/>
                <w:sz w:val="20"/>
              </w:rPr>
              <w:t xml:space="preserve">” means all shares of preferred stock, including the Series A Preferred Stock, and the undesignated preferred stock authorized by the Charter.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w:t>
            </w:r>
            <w:r>
              <w:rPr>
                <w:rFonts w:ascii="Times New Roman" w:hAnsi="Times New Roman"/>
                <w:i/>
                <w:sz w:val="20"/>
              </w:rPr>
              <w:t>Private Warrants</w:t>
            </w:r>
            <w:r>
              <w:rPr>
                <w:rFonts w:ascii="Times New Roman" w:hAnsi="Times New Roman"/>
                <w:sz w:val="20"/>
              </w:rPr>
              <w:t xml:space="preserve">” means the redeemable warrants that were included in the Denali Private Placement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Public Warrants</w:t>
            </w:r>
            <w:r>
              <w:rPr>
                <w:rFonts w:ascii="Times New Roman" w:hAnsi="Times New Roman"/>
                <w:sz w:val="20"/>
              </w:rPr>
              <w:t xml:space="preserve">” means the redeemable warrants that were included in the Public Units that entitle the holder of each whole warrant to purchase one share of Common Stock at a price of $11.50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Registration Rights Agreement</w:t>
            </w:r>
            <w:r>
              <w:rPr>
                <w:rFonts w:ascii="Times New Roman" w:hAnsi="Times New Roman"/>
                <w:sz w:val="20"/>
              </w:rPr>
              <w:t xml:space="preserve">” means the Amended and Restated Registration Rights Agreement entered into by and among the Company, Scilex, the Sponsor and certain shareholders of the Company, dated as of the Closing Date.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pPr>
            <w:r>
              <w:rPr/>
              <w:t>“</w:t>
            </w:r>
            <w:r>
              <w:rPr>
                <w:rFonts w:ascii="Times New Roman" w:hAnsi="Times New Roman"/>
                <w:i/>
                <w:sz w:val="20"/>
              </w:rPr>
              <w:t>Scilex</w:t>
            </w:r>
            <w:r>
              <w:rPr>
                <w:rFonts w:ascii="Times New Roman" w:hAnsi="Times New Roman"/>
                <w:sz w:val="20"/>
              </w:rPr>
              <w:t xml:space="preserve">” means Scilex Holding Company, a Delaware company.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pPr>
            <w:r>
              <w:rPr/>
              <w:t>“</w:t>
            </w:r>
            <w:r>
              <w:rPr>
                <w:rFonts w:ascii="Times New Roman" w:hAnsi="Times New Roman"/>
                <w:i/>
                <w:sz w:val="20"/>
              </w:rPr>
              <w:t>Scilex Bio</w:t>
            </w:r>
            <w:r>
              <w:rPr>
                <w:rFonts w:ascii="Times New Roman" w:hAnsi="Times New Roman"/>
                <w:sz w:val="20"/>
              </w:rPr>
              <w:t xml:space="preserve">” means Scilex Bio, Inc., a Delaware company and majority owned subsidiary of Scilex.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pPr>
            <w:r>
              <w:rPr/>
              <w:t>“</w:t>
            </w:r>
            <w:r>
              <w:rPr>
                <w:rFonts w:ascii="Times New Roman" w:hAnsi="Times New Roman"/>
                <w:i/>
                <w:sz w:val="20"/>
              </w:rPr>
              <w:t>Scilex, Inc.</w:t>
            </w:r>
            <w:r>
              <w:rPr>
                <w:rFonts w:ascii="Times New Roman" w:hAnsi="Times New Roman"/>
                <w:sz w:val="20"/>
              </w:rPr>
              <w:t xml:space="preserve">” means Scilex, Inc., a Delaware company and wholly owned subsidiary of Scilex.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Scilex Group</w:t>
            </w:r>
            <w:r>
              <w:rPr>
                <w:rFonts w:ascii="Times New Roman" w:hAnsi="Times New Roman"/>
                <w:sz w:val="20"/>
              </w:rPr>
              <w:t xml:space="preserve">” means Scilex together with its affiliates, subsidiaries, successors and assigns (other than Semnur and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Scilex Trigger Event</w:t>
            </w:r>
            <w:r>
              <w:rPr>
                <w:rFonts w:ascii="Times New Roman" w:hAnsi="Times New Roman"/>
                <w:sz w:val="20"/>
              </w:rPr>
              <w:t xml:space="preserve">” means the time that the Scilex Group first ceases to beneficially own more than 50% in voting power of the then-outstanding shares of stock of Semnur entitled to vote generally in the election of directors.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pPr>
            <w:r>
              <w:rPr/>
              <w:t>“</w:t>
            </w:r>
            <w:r>
              <w:rPr>
                <w:rFonts w:ascii="Times New Roman" w:hAnsi="Times New Roman"/>
                <w:i/>
                <w:sz w:val="20"/>
              </w:rPr>
              <w:t>Selling Securityholders</w:t>
            </w:r>
            <w:r>
              <w:rPr>
                <w:rFonts w:ascii="Times New Roman" w:hAnsi="Times New Roman"/>
                <w:sz w:val="20"/>
              </w:rPr>
              <w:t xml:space="preserve">” means the selling warrantholder and the selling stockholders named in this prospectus.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pPr>
            <w:r>
              <w:rPr/>
              <w:t>“</w:t>
            </w:r>
            <w:r>
              <w:rPr>
                <w:rFonts w:ascii="Times New Roman" w:hAnsi="Times New Roman"/>
                <w:i/>
                <w:sz w:val="20"/>
              </w:rPr>
              <w:t>Semnur</w:t>
            </w:r>
            <w:r>
              <w:rPr>
                <w:rFonts w:ascii="Times New Roman" w:hAnsi="Times New Roman"/>
                <w:sz w:val="20"/>
              </w:rPr>
              <w:t xml:space="preserve">” means Semnur Pharmaceuticals, Inc., a Delaware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Series A Preferred Stock</w:t>
            </w:r>
            <w:r>
              <w:rPr>
                <w:rFonts w:ascii="Times New Roman" w:hAnsi="Times New Roman"/>
                <w:sz w:val="20"/>
              </w:rPr>
              <w:t xml:space="preserve">” means the preferred stock, par value $0.0001 per share, of the Company, designated as Series A Preferred Stock pursuant to the Certificate of Designations.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pPr>
            <w:r>
              <w:rPr/>
              <w:t>“</w:t>
            </w:r>
            <w:r>
              <w:rPr>
                <w:rFonts w:ascii="Times New Roman" w:hAnsi="Times New Roman"/>
                <w:i/>
                <w:sz w:val="20"/>
              </w:rPr>
              <w:t>Sponsor</w:t>
            </w:r>
            <w:r>
              <w:rPr>
                <w:rFonts w:ascii="Times New Roman" w:hAnsi="Times New Roman"/>
                <w:sz w:val="20"/>
              </w:rPr>
              <w:t xml:space="preserve">” means Denali Capital Global Investments LLC, a Cayman Islands limited liability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Sponsor Convertible Promissory Note</w:t>
            </w:r>
            <w:r>
              <w:rPr>
                <w:rFonts w:ascii="Times New Roman" w:hAnsi="Times New Roman"/>
                <w:sz w:val="20"/>
              </w:rPr>
              <w:t xml:space="preserve">” means the convertible promissory note dated April 2, 2024, by and between Denali and the Sponsor in the total principal amount of $2,000,000, which bore interest equivalent to the lowest short-term applicable federal rate and were previously convertible in whole or in part into additional Denali Class A Ordinary Shares at a conversion price of $10.00 per ordinary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Sponsor Extension Convertible Promissory Note</w:t>
            </w:r>
            <w:r>
              <w:rPr>
                <w:rFonts w:ascii="Times New Roman" w:hAnsi="Times New Roman"/>
                <w:sz w:val="20"/>
              </w:rPr>
              <w:t xml:space="preserve">” means the convertible promissory note dated July 10, 2024, by and between Denali and the Sponsor in the total principal amount of $180,000, which bore no interest and was previously convertible in whole or in part into additional Denali Class A Ordinary Shares at a conversion price of $10.00 per ordinary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Sponsor Interest Purchase Agreement</w:t>
            </w:r>
            <w:r>
              <w:rPr>
                <w:rFonts w:ascii="Times New Roman" w:hAnsi="Times New Roman"/>
                <w:sz w:val="20"/>
              </w:rPr>
              <w:t>” or “</w:t>
            </w:r>
            <w:r>
              <w:rPr>
                <w:rFonts w:ascii="Times New Roman" w:hAnsi="Times New Roman"/>
                <w:i/>
                <w:sz w:val="20"/>
              </w:rPr>
              <w:t>SIPA</w:t>
            </w:r>
            <w:r>
              <w:rPr>
                <w:rFonts w:ascii="Times New Roman" w:hAnsi="Times New Roman"/>
                <w:sz w:val="20"/>
              </w:rPr>
              <w:t xml:space="preserve">” means the Sponsor Interest Purchase Agreement, dated as of August 30, 2024, by and between Denali and Scilex.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Sponsor Support Agreement</w:t>
            </w:r>
            <w:r>
              <w:rPr>
                <w:rFonts w:ascii="Times New Roman" w:hAnsi="Times New Roman"/>
                <w:sz w:val="20"/>
              </w:rPr>
              <w:t xml:space="preserve">” means the Sponsor Support Agreement, dated as of August 30, 2024, by and among Denali and each of the persons set forth on </w:t>
            </w:r>
            <w:r>
              <w:rPr>
                <w:rFonts w:ascii="Times New Roman" w:hAnsi="Times New Roman"/>
                <w:sz w:val="20"/>
                <w:u w:val="single"/>
              </w:rPr>
              <w:t>Schedule I</w:t>
            </w:r>
            <w:r>
              <w:rPr>
                <w:rFonts w:ascii="Times New Roman" w:hAnsi="Times New Roman"/>
                <w:sz w:val="20"/>
              </w:rPr>
              <w:t xml:space="preserve"> attached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Stockholder Agreement</w:t>
            </w:r>
            <w:r>
              <w:rPr>
                <w:rFonts w:ascii="Times New Roman" w:hAnsi="Times New Roman"/>
                <w:sz w:val="20"/>
              </w:rPr>
              <w:t xml:space="preserve">” means the Stockholder Agreement, dated as of August 30, 2024, by and between Denali and Scilex.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Underwriter Shares”</w:t>
            </w:r>
            <w:r>
              <w:rPr>
                <w:rFonts w:ascii="Times New Roman" w:hAnsi="Times New Roman"/>
                <w:sz w:val="20"/>
              </w:rPr>
              <w:t xml:space="preserve"> means up to 100,000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and D. Boral Capital, LLC, and as subsequently amended by the Satisfaction and Discharge Agreements Denali entered into with each of US Tiger Securities and D. Boral Capital, LLC on September 22, 2025 immediately prior to the consummation of the Business Combination.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pPr>
            <w:r>
              <w:rPr/>
              <w:t>“</w:t>
            </w:r>
            <w:r>
              <w:rPr>
                <w:rFonts w:ascii="Times New Roman" w:hAnsi="Times New Roman"/>
                <w:i/>
                <w:sz w:val="20"/>
              </w:rPr>
              <w:t>US Tiger Securities</w:t>
            </w:r>
            <w:r>
              <w:rPr>
                <w:rFonts w:ascii="Times New Roman" w:hAnsi="Times New Roman"/>
                <w:sz w:val="20"/>
              </w:rPr>
              <w:t xml:space="preserve">” or “US Tiger” means US Tiger Securities, Inc. the representative of the underwriters in the IPO.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pPr>
            <w:r>
              <w:rPr/>
              <w:t>“</w:t>
            </w:r>
            <w:r>
              <w:rPr>
                <w:rFonts w:ascii="Times New Roman" w:hAnsi="Times New Roman"/>
                <w:i/>
                <w:sz w:val="20"/>
              </w:rPr>
              <w:t>VStock</w:t>
            </w:r>
            <w:r>
              <w:rPr>
                <w:rFonts w:ascii="Times New Roman" w:hAnsi="Times New Roman"/>
                <w:sz w:val="20"/>
              </w:rPr>
              <w:t xml:space="preserve">” means VStock Transfer, LLC, Denali’s transfer agent.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Warrants</w:t>
            </w:r>
            <w:r>
              <w:rPr>
                <w:rFonts w:ascii="Times New Roman" w:hAnsi="Times New Roman"/>
                <w:sz w:val="20"/>
              </w:rPr>
              <w:t xml:space="preserve">” means together the Private Warrants and the Public Warrants, that entitle the holder thereof to purchase one share of Semnur at an exercise price of $11.50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Working Capital Loans</w:t>
            </w:r>
            <w:r>
              <w:rPr>
                <w:rFonts w:ascii="Times New Roman" w:hAnsi="Times New Roman"/>
                <w:sz w:val="20"/>
              </w:rPr>
              <w:t xml:space="preserve">” means (i) the Sponsor Convertible Promissory Note and (ii) the Sponsor Extension Convertible Promissory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63562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in this prospectus. Because it is only a summary, it does not contain all of the information you should consider before investing in our securities and it is qualified in its entirety by, and should be read in conjunction with, the more detailed information included elsewhere in this prospectus. Before you decide whether to purchase our securities, you should read this entire prospectus carefully, including the sections of this prospectus titled “Risk Factors” and “Management’s Discussion and Analysis of Financial Condition and Results of Operations.” You should also carefully read the information in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late-stage clinical biopharmaceutical company focused on developing and commercializing innovative non-opioid pain management products for the treatment of acute and chronic pain. We believe that our innovative non-opioid product portfolio has the potential to provide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(10 mg, dexamethasone sodium phosphate viscous gel) (“SP-102” or “SEMDEXATM”), if approved, has the potential to become the first U.S. Food and Drug Administration (“FDA”) approved non-opioid novel injectable corticosteroid gel formulation for patients with moderate to severe lumbosacral radicular pain (“LRP”) (also known as sciatica), containing no preservatives, surfactants, solvents, or particulates and is expected to be available in a pre-filled syringe formulation following approval by the FDA.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developing SP-102 to be an injectable viscous gel formulation of a widely used corticosteroid designed to address the serious risks posed by off-label epidural steroid injections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 According to a report by Decision Resources Group published in May 2017, it was estimated that over 4.8 million patients would suffer from sciatica in the United States in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guiding principle has always been and remains a patient-first approach, which drives its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its innovative and leading therapies. We believe that we have made substantial progress in demonstrating the rapid onset and enhanced tolerability of our product candidate.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developing SP-102 to address problems associated with currently available corticosteroid products that are used in practice but not approved for epidural injection or the treatment of sciatica.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 excipient in lieu of particulates. The product is also formulated without the use of preservatives and packaged in a pre-filled syringe, so as to confer greater physician convenience.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22, 2025, we consummated the Business Combination pursuant to the terms of the Merger Agreement, by and among Denali, Merger Sub and Legacy Semnur.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(i) prior to the Closing, Denali effected the Domestication and (ii) at the Closing, and following the Domestication, the parties effected the Merger, with Legacy Semnur as the surviving company in the Merger, and, after giving effect to such Merger, Legacy Semnur became a wholly owned subsidiary of Denali. The Merger was approved by Denali’s shareholders at a meeting held on September 3, 2025 (the “Denali Shareholder Meeting”). In connection with the Business Combination, Denali changed its name to “Semnur Pharmaceuticals,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terms and subject to the conditions of the Merger Agreement, at the time at which the Business Combination became effective (the “Effective Time”), (i) each outstanding share of Legacy Semnur Common Stock outstanding immediately prior to the Effective Time was automatically cancelled in exchange for the right to receive 1.25 shares of our Common Stock, (ii) each share of Legacy Semnur Preferred Stock outstanding immediately prior to the Effective Time was cancelled in exchange for the right to receive (a) one share of Series A Preferred Stock (as defined below) and (b) one-tenth of one share of our Common Stock, and (iii) each option to purchase shares of Legacy Semnur Common Stock outstanding as of immediately prior to the Effective Time was converted into the right to receive a comparable option to purchase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and Public Warrants are currently traded on the Pink Limited Market of the OTC Markets under the symbols “SMNR” and “SMNRW,”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rights of holders of our Common Stock and Warrants (as defined below) are governed by the Certificate of Incorporation, the Bylaws and the DGCL, and, in the case of the Warrants, the Warrant Agreement (the “Warrant Agreement”), dated as of April 6, 2022, between Denali and VStock Transfer, LLC (“VStock”). See sections of this prospectus titled “</w:t>
      </w:r>
      <w:r>
        <w:rPr>
          <w:rFonts w:ascii="Times New Roman" w:hAnsi="Times New Roman"/>
          <w:i/>
          <w:sz w:val="20"/>
          <w:bdr w:val="single" w:sz="8" w:space="1" w:color="000000"/>
        </w:rPr>
        <w:t>Description of Securities</w:t>
      </w:r>
      <w:r>
        <w:rPr>
          <w:rFonts w:ascii="Times New Roman" w:hAnsi="Times New Roman"/>
          <w:sz w:val="20"/>
          <w:bdr w:val="single" w:sz="8" w:space="1" w:color="000000"/>
        </w:rPr>
        <w:t>” and “</w:t>
      </w:r>
      <w:r>
        <w:rPr>
          <w:rFonts w:ascii="Times New Roman" w:hAnsi="Times New Roman"/>
          <w:i/>
          <w:sz w:val="20"/>
          <w:bdr w:val="single" w:sz="8" w:space="1" w:color="000000"/>
        </w:rPr>
        <w:t>Certain Relationships and Related Party Transactions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as more fully described in the section of this prospectus titled “</w:t>
      </w:r>
      <w:r>
        <w:rPr>
          <w:rFonts w:ascii="Times New Roman" w:hAnsi="Times New Roman"/>
          <w:i/>
          <w:sz w:val="20"/>
          <w:bdr w:val="single" w:sz="8" w:space="1" w:color="000000"/>
        </w:rPr>
        <w:t>Management’s Discussion and Analysis of Financial Condition and Results of Operations — Emerging Growth Company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earlier of: (i) the last day of the fiscal year (a) following the fifth anniversary of the closing of the initial public offering of 8,250,000 Public Units of Denali consummated on April 11, 2022 (the “IPO”),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Limited Operating History, Financial Condition and Capital Requirements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late-stage clinical specialty pharmaceutical company and have incurred significant losses since our inception. We anticipate that we will incur continued losses for the foreseeable future.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only one product candidate, SP-102, no products approved for commercial sale, have never generated any revenue from product sales and may never be profitable.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currently have no sales and marketing organization and if we do not establish satisfactory sales and marketing capabilities, we may not successfully commercialize SP-102 or any future product candidates.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recurring losses from operations, negative cash flows and substantial cumulative net losses raise substantial doubt about our ability to continue as a going concern.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Product Development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conduct clinical trials and intend to rely on third parties to conduct all future clinical trials. If these third parties do not successfully carry out their contractual duties, fail to comply with regulatory requirements or meet expected deadlines, we may be unable to obtain regulatory approvals.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clinical trials could result in increased costs to us and delay our ability to obtain commercial approval and generate revenue.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we complete the necessary clinical trials, we cannot predict when, or if, we will obtain regulatory approval for our product candidates and the approval may be for a more narrow indication than we seek.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Business and Operations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retain our key executives, it may delay our development efforts and harm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increase the size of our company and may not effectively manage our growth.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we may incur substantial liabilities and may be required to limit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disruption in our research and development facilities could adversely affect our business, financial condition and results of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Intellectual Property (“IP”)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patent protection for our product candidates, or if the scope of the patent protection obtained is not sufficiently broad, we may not be able to compete effectively in our markets. </w:t>
            </w:r>
          </w:p>
        </w:tc>
      </w:tr>
    </w:tbl>
    <w:p>
      <w:pPr>
        <w:pStyle w:val="TextBody"/>
        <w:bidi w:val="0"/>
        <w:spacing w:before="0" w:after="0"/>
        <w:jc w:val="left"/>
        <w:rPr>
          <w:bdr w:val="single" w:sz="8" w:space="1" w:color="000000"/>
        </w:rPr>
      </w:pPr>
      <w:r>
        <w:rPr>
          <w:bdr w:val="single" w:sz="8" w:space="1" w:color="000000"/>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IP rights are invalidated or circumvented, our business will be adversely affected.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Confidentiality agreements with employees may not prevent disclosure of our trade secrets and proprietary information and may not adequately protect our IP, which could limit our ability to compete.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Government Regulations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non-U.S. regulatory authorities are time-consuming and unpredictable, and if we are unable to obtain regulatory approval for our product candidates, our business will be substantially harmed. Moreover, gaining approval for a product candidate in one jurisdiction does not ensure approval in other jurisdictions, which could limit our total market.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FDA does not conclude that our product candidate satisfies the requirements for the Section 505(b)(2) regulatory approval pathway, or if the requirements for our product candidate under Section 505(b)(2) are not as we expect, the approval pathway for our product candidate could take significantly longer, cost significantly more and entail greater risks than anticipated, and in either case may not be successful.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approved product candidate will be subject to ongoing and continued regulatory requirements, which may result in significant expense and limit our ability to commercialize such products.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Relationship with Scilex </w:t>
      </w:r>
    </w:p>
    <w:p>
      <w:pPr>
        <w:pStyle w:val="TextBody"/>
        <w:bidi w:val="0"/>
        <w:spacing w:before="0" w:after="0"/>
        <w:jc w:val="left"/>
        <w:rPr>
          <w:bdr w:val="single" w:sz="8" w:space="1" w:color="000000"/>
        </w:rPr>
      </w:pPr>
      <w:r>
        <w:rPr>
          <w:bdr w:val="single" w:sz="8" w:space="1" w:color="000000"/>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directors and officers may have conflicts of interest because of their positions with Scilex.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Scilex currently performs or supports many of our important corporate functions. Our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Executive Chairman and Chief Financial Officer each holds an executive officer position at Scilex and devotes time to both companies, which could cause a diversion of their time and attention from our business. </w:t>
            </w:r>
          </w:p>
        </w:tc>
      </w:tr>
    </w:tbl>
    <w:p>
      <w:pPr>
        <w:pStyle w:val="TextBody"/>
        <w:bidi w:val="0"/>
        <w:spacing w:before="0" w:after="0"/>
        <w:jc w:val="left"/>
        <w:rPr>
          <w:bdr w:val="single" w:sz="8" w:space="1" w:color="000000"/>
        </w:rPr>
      </w:pPr>
      <w:r>
        <w:rPr>
          <w:bdr w:val="single" w:sz="8" w:space="1" w:color="000000"/>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controlled by Scilex, whose interests may differ from those of our public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Ownership of Our Common Stock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operations and performance do not meet the expectations of investors or securities analysts, the market price of our securities may decline.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not paid cash dividends in the past and we do not expect to pay cash dividends in the foreseeable future. Any return on investment may be limited to the capital appreciation, if any, of Common Stock.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Cryptocurrency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intends to use the net proceeds of the Biconomy SPA, which as of the date of this prospectus has not closed and will be paid in Bitcoin, to fund investments in other companies. The price of Bitcoin will likely continue to be highly volatile, which could cause the Company’s share price to significantly fluctuate. </w:t>
            </w:r>
          </w:p>
        </w:tc>
      </w:tr>
    </w:tbl>
    <w:p>
      <w:pPr>
        <w:pStyle w:val="TextBody"/>
        <w:bidi w:val="0"/>
        <w:spacing w:before="0" w:after="0"/>
        <w:jc w:val="left"/>
        <w:rPr>
          <w:bdr w:val="single" w:sz="8" w:space="1" w:color="000000"/>
        </w:rPr>
      </w:pPr>
      <w:r>
        <w:rPr>
          <w:bdr w:val="single" w:sz="8" w:space="1" w:color="000000"/>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cryptocurrency treasury strategy has not been implemented or tested.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any of the digital assets that we hold are classified as a security, we may be subject to extensive regulation, which could result in significant costs or force us to cease operations.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name “Denali Capital Acquisition Corp.” on January 5, 2022 as a Cayman Islands exempted company for the purpose of effecting a merger, share exchange, asset acquisition, share purchase, reorganization or similar business combination with one or more businesses or entities. On September 22, 2025, we changed our jurisdiction of incorporation by deregistering as a Cayman Islands exempted company and continuing and domesticating as a corporation incorporated under the laws of the State of Delaware. On September 22, 2025, we changed our name to “Semnur Pharmaceuticals,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960 San Antonio Road, Palo Alto, California 94303, and our telephone number is (650) 516-4310. Our website address is </w:t>
      </w:r>
      <w:r>
        <w:rPr>
          <w:rFonts w:ascii="Times New Roman" w:hAnsi="Times New Roman"/>
          <w:i/>
          <w:sz w:val="20"/>
          <w:bdr w:val="single" w:sz="8" w:space="1" w:color="000000"/>
        </w:rPr>
        <w:t>www.semnurpharma.com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 xml:space="preserve">http://www.sec.gov.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63562_5"/>
      <w:bookmarkEnd w:id="7"/>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Issuance of Common Stock by Us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69"/>
        <w:gridCol w:w="8236"/>
      </w:tblGrid>
      <w:tr>
        <w:trPr/>
        <w:tc>
          <w:tcPr>
            <w:tcW w:w="1969"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us </w:t>
            </w:r>
          </w:p>
        </w:tc>
        <w:tc>
          <w:tcPr>
            <w:tcW w:w="8236" w:type="dxa"/>
            <w:tcBorders/>
            <w:vAlign w:val="center"/>
          </w:tcPr>
          <w:p>
            <w:pPr>
              <w:pStyle w:val="TableContents"/>
              <w:bidi w:val="0"/>
              <w:spacing w:before="0" w:after="283"/>
              <w:jc w:val="left"/>
              <w:rPr/>
            </w:pPr>
            <w:r>
              <w:rPr/>
              <w:t xml:space="preserve">Up to 8,760,000 shares, issuable upon the exercise of (i) 510,000 Private Warrants by the holders thereof and (ii) 8,250,000 Public Warrants by the holders thereof. </w:t>
            </w:r>
          </w:p>
        </w:tc>
      </w:tr>
    </w:tbl>
    <w:p>
      <w:pPr>
        <w:pStyle w:val="TextBody"/>
        <w:bidi w:val="0"/>
        <w:spacing w:before="0" w:after="0"/>
        <w:jc w:val="left"/>
        <w:rPr>
          <w:bdr w:val="single" w:sz="8" w:space="1" w:color="000000"/>
        </w:rPr>
      </w:pPr>
      <w:r>
        <w:rPr>
          <w:bdr w:val="single" w:sz="8" w:space="1" w:color="000000"/>
        </w:rPr>
        <w:t> </w:t>
      </w:r>
    </w:p>
    <w:tbl>
      <w:tblPr>
        <w:tblW w:w="9745" w:type="dxa"/>
        <w:jc w:val="left"/>
        <w:tblInd w:w="0" w:type="dxa"/>
        <w:tblLayout w:type="fixed"/>
        <w:tblCellMar>
          <w:top w:w="0" w:type="dxa"/>
          <w:left w:w="0" w:type="dxa"/>
          <w:bottom w:w="0" w:type="dxa"/>
          <w:right w:w="0" w:type="dxa"/>
        </w:tblCellMar>
      </w:tblPr>
      <w:tblGrid>
        <w:gridCol w:w="5945"/>
        <w:gridCol w:w="3800"/>
      </w:tblGrid>
      <w:tr>
        <w:trPr/>
        <w:tc>
          <w:tcPr>
            <w:tcW w:w="594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prior to exercise of all Warrants(1) </w:t>
            </w:r>
          </w:p>
        </w:tc>
        <w:tc>
          <w:tcPr>
            <w:tcW w:w="3800" w:type="dxa"/>
            <w:tcBorders/>
            <w:vAlign w:val="center"/>
          </w:tcPr>
          <w:p>
            <w:pPr>
              <w:pStyle w:val="TableContents"/>
              <w:bidi w:val="0"/>
              <w:spacing w:before="0" w:after="283"/>
              <w:jc w:val="left"/>
              <w:rPr/>
            </w:pPr>
            <w:r>
              <w:rPr/>
              <w:t xml:space="preserve">229,740,978 shares of Common Stock. </w:t>
            </w:r>
          </w:p>
        </w:tc>
      </w:tr>
    </w:tbl>
    <w:p>
      <w:pPr>
        <w:pStyle w:val="TextBody"/>
        <w:bidi w:val="0"/>
        <w:spacing w:before="0" w:after="0"/>
        <w:jc w:val="left"/>
        <w:rPr>
          <w:bdr w:val="single" w:sz="8" w:space="1" w:color="000000"/>
        </w:rPr>
      </w:pPr>
      <w:r>
        <w:rPr>
          <w:bdr w:val="single" w:sz="8" w:space="1" w:color="000000"/>
        </w:rPr>
        <w:t> </w:t>
      </w:r>
    </w:p>
    <w:tbl>
      <w:tblPr>
        <w:tblW w:w="9685" w:type="dxa"/>
        <w:jc w:val="left"/>
        <w:tblInd w:w="0" w:type="dxa"/>
        <w:tblLayout w:type="fixed"/>
        <w:tblCellMar>
          <w:top w:w="0" w:type="dxa"/>
          <w:left w:w="0" w:type="dxa"/>
          <w:bottom w:w="0" w:type="dxa"/>
          <w:right w:w="0" w:type="dxa"/>
        </w:tblCellMar>
      </w:tblPr>
      <w:tblGrid>
        <w:gridCol w:w="5885"/>
        <w:gridCol w:w="3800"/>
      </w:tblGrid>
      <w:tr>
        <w:trPr/>
        <w:tc>
          <w:tcPr>
            <w:tcW w:w="58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assuming exercise of all Warrants </w:t>
            </w:r>
          </w:p>
        </w:tc>
        <w:tc>
          <w:tcPr>
            <w:tcW w:w="3800" w:type="dxa"/>
            <w:tcBorders/>
            <w:vAlign w:val="center"/>
          </w:tcPr>
          <w:p>
            <w:pPr>
              <w:pStyle w:val="TableContents"/>
              <w:bidi w:val="0"/>
              <w:spacing w:before="0" w:after="283"/>
              <w:jc w:val="left"/>
              <w:rPr/>
            </w:pPr>
            <w:r>
              <w:rPr/>
              <w:t xml:space="preserve">238,500,978 shares of Common Stock. </w:t>
            </w:r>
          </w:p>
        </w:tc>
      </w:tr>
    </w:tbl>
    <w:p>
      <w:pPr>
        <w:pStyle w:val="TextBody"/>
        <w:bidi w:val="0"/>
        <w:spacing w:before="0" w:after="0"/>
        <w:jc w:val="left"/>
        <w:rPr>
          <w:bdr w:val="single" w:sz="8" w:space="1" w:color="000000"/>
        </w:rPr>
      </w:pPr>
      <w:r>
        <w:rPr>
          <w:bdr w:val="single" w:sz="8" w:space="1" w:color="000000"/>
        </w:rPr>
        <w:t> </w:t>
      </w:r>
    </w:p>
    <w:tbl>
      <w:tblPr>
        <w:tblW w:w="7885" w:type="dxa"/>
        <w:jc w:val="left"/>
        <w:tblInd w:w="0" w:type="dxa"/>
        <w:tblLayout w:type="fixed"/>
        <w:tblCellMar>
          <w:top w:w="0" w:type="dxa"/>
          <w:left w:w="0" w:type="dxa"/>
          <w:bottom w:w="0" w:type="dxa"/>
          <w:right w:w="0" w:type="dxa"/>
        </w:tblCellMar>
      </w:tblPr>
      <w:tblGrid>
        <w:gridCol w:w="2195"/>
        <w:gridCol w:w="5690"/>
      </w:tblGrid>
      <w:tr>
        <w:trPr/>
        <w:tc>
          <w:tcPr>
            <w:tcW w:w="219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Exercise price of Warrants </w:t>
            </w:r>
          </w:p>
        </w:tc>
        <w:tc>
          <w:tcPr>
            <w:tcW w:w="5690" w:type="dxa"/>
            <w:tcBorders/>
            <w:vAlign w:val="center"/>
          </w:tcPr>
          <w:p>
            <w:pPr>
              <w:pStyle w:val="TableContents"/>
              <w:bidi w:val="0"/>
              <w:spacing w:before="0" w:after="283"/>
              <w:jc w:val="left"/>
              <w:rPr/>
            </w:pPr>
            <w:r>
              <w:rPr/>
              <w:t xml:space="preserve">$11.50 per share, subject to adjustment as described herein.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24"/>
        <w:gridCol w:w="9381"/>
      </w:tblGrid>
      <w:tr>
        <w:trPr/>
        <w:tc>
          <w:tcPr>
            <w:tcW w:w="82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381" w:type="dxa"/>
            <w:tcBorders/>
            <w:vAlign w:val="center"/>
          </w:tcPr>
          <w:p>
            <w:pPr>
              <w:pStyle w:val="TableContents"/>
              <w:bidi w:val="0"/>
              <w:spacing w:before="0" w:after="283"/>
              <w:jc w:val="left"/>
              <w:rPr/>
            </w:pPr>
            <w:r>
              <w:rPr/>
              <w:t>We will receive up to an aggregate of approximately $100.74 million from the exercise of the Warrants, consisting of up to 510,000 Private Warrants and up to 8,250,000 Public Warrants, assuming the exercise in full of all of the Warrants for cash. We expect to use the net proceeds from the exercise of the Warrants for cash for working capital and general corporate purposes, which may include capital expenditures, research and development expenditures, regulatory affairs expenditures, clinical trial expenditures, acquisitions of new technologies and investments, business combinations and the repayment, refinancing, redemption or repurchase of indebtedness or capital stock. See “</w:t>
            </w:r>
            <w:r>
              <w:rPr>
                <w:i/>
              </w:rPr>
              <w:t>Use of Proceeds</w:t>
            </w:r>
            <w:r>
              <w:rPr/>
              <w:t xml:space="preserve">” elsewhere in this prospectus.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Resale of Common Stock and Private Warrants by the Selling Securityholders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4734"/>
        <w:gridCol w:w="5471"/>
      </w:tblGrid>
      <w:tr>
        <w:trPr/>
        <w:tc>
          <w:tcPr>
            <w:tcW w:w="473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Securityholders </w:t>
            </w:r>
          </w:p>
        </w:tc>
        <w:tc>
          <w:tcPr>
            <w:tcW w:w="5471" w:type="dxa"/>
            <w:tcBorders/>
            <w:vAlign w:val="center"/>
          </w:tcPr>
          <w:p>
            <w:pPr>
              <w:pStyle w:val="TableContents"/>
              <w:bidi w:val="0"/>
              <w:spacing w:before="0" w:after="283"/>
              <w:jc w:val="left"/>
              <w:rPr/>
            </w:pPr>
            <w:r>
              <w:rPr/>
              <w:t xml:space="preserve">Up to 203,737,349 shares of our Common Stock, consisting of: </w:t>
            </w:r>
          </w:p>
        </w:tc>
      </w:tr>
    </w:tbl>
    <w:p>
      <w:pPr>
        <w:pStyle w:val="TextBody"/>
        <w:bidi w:val="0"/>
        <w:spacing w:before="0" w:after="0"/>
        <w:jc w:val="left"/>
        <w:rPr>
          <w:bdr w:val="single" w:sz="8" w:space="1" w:color="000000"/>
        </w:rPr>
      </w:pPr>
      <w:r>
        <w:rPr>
          <w:bdr w:val="single" w:sz="8" w:space="1" w:color="000000"/>
        </w:rPr>
        <w:t> </w:t>
      </w:r>
    </w:p>
    <w:tbl>
      <w:tblPr>
        <w:tblW w:w="2950" w:type="dxa"/>
        <w:jc w:val="left"/>
        <w:tblInd w:w="0" w:type="dxa"/>
        <w:tblLayout w:type="fixed"/>
        <w:tblCellMar>
          <w:top w:w="0" w:type="dxa"/>
          <w:left w:w="0" w:type="dxa"/>
          <w:bottom w:w="0" w:type="dxa"/>
          <w:right w:w="0" w:type="dxa"/>
        </w:tblCellMar>
      </w:tblPr>
      <w:tblGrid>
        <w:gridCol w:w="75"/>
        <w:gridCol w:w="110"/>
        <w:gridCol w:w="6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2,072,500 Sponsor Shares; </w:t>
            </w:r>
          </w:p>
        </w:tc>
      </w:tr>
    </w:tbl>
    <w:p>
      <w:pPr>
        <w:pStyle w:val="TextBody"/>
        <w:bidi w:val="0"/>
        <w:spacing w:before="0" w:after="0"/>
        <w:jc w:val="left"/>
        <w:rPr>
          <w:bdr w:val="single" w:sz="8" w:space="1" w:color="000000"/>
        </w:rPr>
      </w:pPr>
      <w:r>
        <w:rPr>
          <w:bdr w:val="single" w:sz="8" w:space="1" w:color="000000"/>
        </w:rPr>
        <w:t> </w:t>
      </w:r>
    </w:p>
    <w:tbl>
      <w:tblPr>
        <w:tblW w:w="3400" w:type="dxa"/>
        <w:jc w:val="left"/>
        <w:tblInd w:w="0" w:type="dxa"/>
        <w:tblLayout w:type="fixed"/>
        <w:tblCellMar>
          <w:top w:w="0" w:type="dxa"/>
          <w:left w:w="0" w:type="dxa"/>
          <w:bottom w:w="0" w:type="dxa"/>
          <w:right w:w="0" w:type="dxa"/>
        </w:tblCellMar>
      </w:tblPr>
      <w:tblGrid>
        <w:gridCol w:w="75"/>
        <w:gridCol w:w="110"/>
        <w:gridCol w:w="6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510,000 Private Warrant Shares; </w:t>
            </w:r>
          </w:p>
        </w:tc>
      </w:tr>
    </w:tbl>
    <w:p>
      <w:pPr>
        <w:pStyle w:val="TextBody"/>
        <w:bidi w:val="0"/>
        <w:spacing w:before="0" w:after="0"/>
        <w:jc w:val="left"/>
        <w:rPr>
          <w:bdr w:val="single" w:sz="8" w:space="1" w:color="000000"/>
        </w:rPr>
      </w:pPr>
      <w:r>
        <w:rPr>
          <w:bdr w:val="single" w:sz="8" w:space="1" w:color="000000"/>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188,554,849 Scilex Shares; </w:t>
            </w:r>
          </w:p>
        </w:tc>
      </w:tr>
    </w:tbl>
    <w:p>
      <w:pPr>
        <w:pStyle w:val="TextBody"/>
        <w:bidi w:val="0"/>
        <w:spacing w:before="0" w:after="0"/>
        <w:jc w:val="left"/>
        <w:rPr>
          <w:bdr w:val="single" w:sz="8" w:space="1" w:color="000000"/>
        </w:rPr>
      </w:pPr>
      <w:r>
        <w:rPr>
          <w:bdr w:val="single" w:sz="8" w:space="1" w:color="000000"/>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100,000 Underwriter Shares; and </w:t>
            </w:r>
          </w:p>
        </w:tc>
      </w:tr>
    </w:tbl>
    <w:p>
      <w:pPr>
        <w:pStyle w:val="TextBody"/>
        <w:bidi w:val="0"/>
        <w:spacing w:before="0" w:after="0"/>
        <w:jc w:val="left"/>
        <w:rPr>
          <w:bdr w:val="single" w:sz="8" w:space="1" w:color="000000"/>
        </w:rPr>
      </w:pPr>
      <w:r>
        <w:rPr>
          <w:bdr w:val="single" w:sz="8" w:space="1" w:color="000000"/>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12,500,000 Biconomy Resale Shares. </w:t>
            </w:r>
          </w:p>
        </w:tc>
      </w:tr>
    </w:tbl>
    <w:p>
      <w:pPr>
        <w:pStyle w:val="TextBody"/>
        <w:bidi w:val="0"/>
        <w:spacing w:before="0" w:after="0"/>
        <w:jc w:val="left"/>
        <w:rPr>
          <w:bdr w:val="single" w:sz="8" w:space="1" w:color="000000"/>
        </w:rPr>
      </w:pPr>
      <w:r>
        <w:rPr>
          <w:bdr w:val="single" w:sz="8" w:space="1" w:color="000000"/>
        </w:rPr>
        <w:t> </w:t>
      </w:r>
    </w:p>
    <w:tbl>
      <w:tblPr>
        <w:tblW w:w="7060" w:type="dxa"/>
        <w:jc w:val="left"/>
        <w:tblInd w:w="0" w:type="dxa"/>
        <w:tblLayout w:type="fixed"/>
        <w:tblCellMar>
          <w:top w:w="0" w:type="dxa"/>
          <w:left w:w="0" w:type="dxa"/>
          <w:bottom w:w="0" w:type="dxa"/>
          <w:right w:w="0" w:type="dxa"/>
        </w:tblCellMar>
      </w:tblPr>
      <w:tblGrid>
        <w:gridCol w:w="3890"/>
        <w:gridCol w:w="3170"/>
      </w:tblGrid>
      <w:tr>
        <w:trPr/>
        <w:tc>
          <w:tcPr>
            <w:tcW w:w="389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Warrants offered by the Selling Warrantholders </w:t>
            </w:r>
          </w:p>
        </w:tc>
        <w:tc>
          <w:tcPr>
            <w:tcW w:w="3170" w:type="dxa"/>
            <w:tcBorders/>
            <w:vAlign w:val="center"/>
          </w:tcPr>
          <w:p>
            <w:pPr>
              <w:pStyle w:val="TableContents"/>
              <w:bidi w:val="0"/>
              <w:spacing w:before="0" w:after="283"/>
              <w:jc w:val="left"/>
              <w:rPr/>
            </w:pPr>
            <w:r>
              <w:rPr/>
              <w:t xml:space="preserve">Up to 510,000 Private Warrants.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74"/>
        <w:gridCol w:w="9131"/>
      </w:tblGrid>
      <w:tr>
        <w:trPr/>
        <w:tc>
          <w:tcPr>
            <w:tcW w:w="107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Redemption </w:t>
            </w:r>
          </w:p>
        </w:tc>
        <w:tc>
          <w:tcPr>
            <w:tcW w:w="9131" w:type="dxa"/>
            <w:tcBorders/>
            <w:vAlign w:val="center"/>
          </w:tcPr>
          <w:p>
            <w:pPr>
              <w:pStyle w:val="TableContents"/>
              <w:bidi w:val="0"/>
              <w:spacing w:before="0" w:after="283"/>
              <w:jc w:val="left"/>
              <w:rPr/>
            </w:pPr>
            <w:r>
              <w:rPr/>
              <w:t>The Warrants are redeemable in certain circumstances. See “</w:t>
            </w:r>
            <w:r>
              <w:rPr>
                <w:i/>
              </w:rPr>
              <w:t>Description of Securities — Warrants</w:t>
            </w:r>
            <w:r>
              <w:rPr/>
              <w:t xml:space="preserve">” for further discussion.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218" w:type="dxa"/>
            <w:tcBorders/>
            <w:vAlign w:val="center"/>
          </w:tcPr>
          <w:p>
            <w:pPr>
              <w:pStyle w:val="TableContents"/>
              <w:bidi w:val="0"/>
              <w:spacing w:before="0" w:after="283"/>
              <w:jc w:val="left"/>
              <w:rPr/>
            </w:pPr>
            <w:r>
              <w:rPr/>
              <w:t xml:space="preserve">We will not receive any proceeds from the sale of shares of Common Stock or Private Warrants by the Selling Securityholders, except with respect to amounts received by us upon the exercise of the Private Warrants for cash.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30"/>
        <w:gridCol w:w="8975"/>
      </w:tblGrid>
      <w:tr>
        <w:trPr/>
        <w:tc>
          <w:tcPr>
            <w:tcW w:w="1230"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Lock-up restrictions </w:t>
            </w:r>
          </w:p>
        </w:tc>
        <w:tc>
          <w:tcPr>
            <w:tcW w:w="8975" w:type="dxa"/>
            <w:tcBorders/>
            <w:vAlign w:val="center"/>
          </w:tcPr>
          <w:p>
            <w:pPr>
              <w:pStyle w:val="TableContents"/>
              <w:bidi w:val="0"/>
              <w:spacing w:before="0" w:after="283"/>
              <w:jc w:val="left"/>
              <w:rPr/>
            </w:pPr>
            <w:r>
              <w:rPr/>
              <w:t>Certain of the securities held by the Selling Securityholders are subject to certain restrictions on transfer until the date that is one year after the Closing Date. See the section of this prospectus titled “</w:t>
            </w:r>
            <w:r>
              <w:rPr>
                <w:i/>
              </w:rPr>
              <w:t>Selling Securityholders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32"/>
        <w:gridCol w:w="7773"/>
      </w:tblGrid>
      <w:tr>
        <w:trPr/>
        <w:tc>
          <w:tcPr>
            <w:tcW w:w="243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Market for our Common Stock and Public Warrants </w:t>
            </w:r>
          </w:p>
        </w:tc>
        <w:tc>
          <w:tcPr>
            <w:tcW w:w="7773" w:type="dxa"/>
            <w:tcBorders/>
            <w:vAlign w:val="center"/>
          </w:tcPr>
          <w:p>
            <w:pPr>
              <w:pStyle w:val="TableContents"/>
              <w:bidi w:val="0"/>
              <w:spacing w:before="0" w:after="283"/>
              <w:jc w:val="left"/>
              <w:rPr/>
            </w:pPr>
            <w:r>
              <w:rPr/>
              <w:t xml:space="preserve">Our Common Stock and Public Warrants trade on the Pink Limited Market of the OTC Markets under the symbols “SMNR” and “SMNRW”, respectively.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9393" w:type="dxa"/>
            <w:tcBorders/>
            <w:vAlign w:val="center"/>
          </w:tcPr>
          <w:p>
            <w:pPr>
              <w:pStyle w:val="TableContents"/>
              <w:bidi w:val="0"/>
              <w:spacing w:before="0" w:after="283"/>
              <w:jc w:val="left"/>
              <w:rPr/>
            </w:pPr>
            <w:r>
              <w:rPr/>
              <w:t>See “</w:t>
            </w:r>
            <w:r>
              <w:rPr>
                <w:i/>
              </w:rPr>
              <w:t>Risk Factors</w:t>
            </w:r>
            <w:r>
              <w:rPr/>
              <w:t xml:space="preserve">” beginning on page 14 and other information included in this prospectus for a discussion of factors you should carefully consider before deciding to invest in the securities being offered by this prospectus.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assumes that an aggregate of 229,740,978 shares are outstanding as of November 28, 2025, and excludes: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50,000,000 shares of Common Stock issuable upon the exercise of stock options outstanding under Semnur’s 2024 Stock Option Plan (the “2024 Stock Option Plan”) with an exercise price of $1.27 per share;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45,948,195 shares of Common Stock reserved for issuance under Semnur’s 2025 Equity Incentive Plan, subject to shareholder approval;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2,297,409 shares of Common Stock reserved for issuance under Semnur’s 2025 Employee Stock Purchase Plan, subject to shareholder approval; </w:t>
            </w:r>
          </w:p>
        </w:tc>
      </w:tr>
    </w:tbl>
    <w:p>
      <w:pPr>
        <w:pStyle w:val="TextBody"/>
        <w:bidi w:val="0"/>
        <w:spacing w:before="0" w:after="0"/>
        <w:jc w:val="left"/>
        <w:rPr>
          <w:bdr w:val="single" w:sz="8" w:space="1" w:color="000000"/>
        </w:rPr>
      </w:pPr>
      <w:r>
        <w:rPr>
          <w:bdr w:val="single" w:sz="8" w:space="1" w:color="000000"/>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2,400,000 shares of Common Stock reserved for issuance under Semnur’s 2025 Inducement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6,250,000 shares of Common Stock issuable upon the closing of the transactions contemplated by the Biconomy SPA;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1,250,000 shares of Common Stock issuable upon the closing of the transactions contemplated by that certain securities purchased agreement by and among the Company, Legacy Semnur and the investor named therein, dated as of August 20, 2025 (the “PIPE SPA”).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63562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an investment decision, you should consider carefully the following risk factors, as well as the other information set forth in this prospectus, including matters addressed in the section of this prospectus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any post-effective amendment or in any document incorporated by reference herein or therein are not the only risks and uncertainties that we face. We may face additional risks and uncertainties that are not presently known to us, or that we currently deem immaterial. The following discussions should be read in conjunction with our financial statements and the notes to the financial statements included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Limited Operating History, Financial Condition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late-stage clinical specialty pharmaceutical company and have incurred significant losses since our inception. We anticipate that we will incur continued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are a late-stage clinical biopharmaceutical company focused on developing and commercializing innovative non-opioid pain management products for the treatment of acute and chronic pain, and we have a limited operating history. We have not commenced revenue-producing operations and to date, we have focused on organizing and staffing our company, business planning, raising capital, identifying potential non-opioid pain therapy candidates, undertaking preclinical studies and clinical trials of our product candidate and establishing research and development collaborations. Our relatively short operating history as a company makes any assessment of our future success and viability subject to significant uncertainty. </w:t>
      </w:r>
    </w:p>
    <w:p>
      <w:pPr>
        <w:pStyle w:val="TextBody"/>
        <w:bidi w:val="0"/>
        <w:spacing w:before="240" w:after="0"/>
        <w:jc w:val="left"/>
        <w:rPr>
          <w:rFonts w:ascii="Times New Roman" w:hAnsi="Times New Roman"/>
          <w:sz w:val="20"/>
        </w:rPr>
      </w:pPr>
      <w:r>
        <w:rPr>
          <w:rFonts w:ascii="Times New Roman" w:hAnsi="Times New Roman"/>
          <w:sz w:val="20"/>
        </w:rPr>
        <w:t xml:space="preserve">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complete ongoing pre-clinical studies and clinical trials and obtain regulatory approvals for our current and future product candidates;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 new acquisition or in-licensing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identify new product candidates and advance those product candidates into pre-clinical studies and clinical trials;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raise additional funds when needed and on terms acceptable to us;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and retain experienced management and advisory teams;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 operational, financial and management information systems and personnel, including personnel to support clinical, pre-clinical manufacturing and planned future commercialization efforts and operations;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 commercial sales of our current and future product candidates, whether alone or in collaboration with others;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 and continue relationships with third-party suppliers and manufacturers;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 acceptable prices for current and future product candidates and obtain coverage and adequate reimbursement from third-party payors;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achieve market acceptance of current and future product candidates in the medical community and with third-party payors and consumers; and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cannot successfully execute any one of the foregoing, our business may not succeed or become profitable. Since our inception, we have incurred significant net losses, with net losses of $4.7 million and $3.3 million for the years ended December 31, 2024 and 2023, respectively. For the nine months ended September 30, 2025 and 2024, we had net losses of $154.3 million and $3.9 million, respectively. As of September 30, 2025, we had an accumulated deficit of $269.6 million. For the foreseeable future, we expect to continue to incur significant expenses related to the research and development of our product candidate, SP-102. We expect to incur substantial losses for the foreseeable future and may never become profitable.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only one product candidate, SP-102, no products approved for commercial sale, have never generated any revenue from product sales and may never be profitable. </w:t>
      </w:r>
    </w:p>
    <w:p>
      <w:pPr>
        <w:pStyle w:val="TextBody"/>
        <w:bidi w:val="0"/>
        <w:spacing w:before="120" w:after="0"/>
        <w:jc w:val="left"/>
        <w:rPr>
          <w:rFonts w:ascii="Times New Roman" w:hAnsi="Times New Roman"/>
          <w:sz w:val="20"/>
        </w:rPr>
      </w:pPr>
      <w:r>
        <w:rPr>
          <w:rFonts w:ascii="Times New Roman" w:hAnsi="Times New Roman"/>
          <w:sz w:val="20"/>
        </w:rPr>
        <w:t xml:space="preserve">We currently only have one product candidate, SP-102. Our ability to generate revenue from product sales and achieve profitability will depend on our ability, alone or with collaborators, to successfully complete the development of, and obtain the regulatory approvals necessary to commercialize, SP-102 and any future product candidates, if any. As a result, we intend to devote a substantial portion of our research and development resources and business efforts to the development of SP-102. We do not anticipate generating revenues from product sales for the next several years, if ever. Our ability to generate future revenue from product sales depends heavily on our, or our future collaborators’, ability to successfully: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 additional product candidates and complete research and preclinical and clinical development of SP-102 and any other product candidates we may identify;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110"/>
        <w:gridCol w:w="60"/>
        <w:gridCol w:w="9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and obtain regulatory and marketing approvals for any product candidates for which we complete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 and commercialize any product candidates for which we obtain regulatory and marketing approval by establishing a sales force, marketing and distribution infrastructure or, alternatively, collaborating with a commercialization partner;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qualify for coverage and adequate reimbursement by government and third-party payors for any product candidates for which we obtain regulatory and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 maintain, and enhance a sustainable, scalable, reproducible, and transferable manufacturing process for the product candidates we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market acceptance of any product candidates as viable treatment options;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address competing technological and market developments;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 internal systems and infrastructure, as needed;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negotiate favorable terms in any collaboration, licensing or other arrangements into which we may enter, and perform our obligations in such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protect, enforce, defend and expand our portfolio of intellectual property rights, including patents, trade secrets and know-how, in the United States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avoid and defend against third-party interference, infringement and other intellectual property claims in the United States and internationally; and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hire and retain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one or more of the product candidates we develop are approved for commercial sale, we anticipate incurring significant costs associated with commercializing any approved product candidate. Our expenses could increase beyond expectations if we are required by the FDA, the European Medicines Agency (the “EMA”) or other regulatory authorities to perform clinical and other studies in addition to those that we currently anticipate. </w:t>
      </w:r>
    </w:p>
    <w:p>
      <w:pPr>
        <w:pStyle w:val="TextBody"/>
        <w:bidi w:val="0"/>
        <w:spacing w:before="240" w:after="0"/>
        <w:jc w:val="left"/>
        <w:rPr>
          <w:rFonts w:ascii="Times New Roman" w:hAnsi="Times New Roman"/>
          <w:sz w:val="20"/>
        </w:rPr>
      </w:pPr>
      <w:r>
        <w:rPr>
          <w:rFonts w:ascii="Times New Roman" w:hAnsi="Times New Roman"/>
          <w:sz w:val="20"/>
        </w:rPr>
        <w:t xml:space="preserve">Many of the factors listed above are beyond our control and could cause us to experience significant delays or prevent us from completing the development of our current and future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have no sales and marketing organization. If we are unable to establish satisfactory sales and marketing capabilities or secure a third-party sales and marketing relationship, we may not be able to successfully commercialize SP-102 or any future product candidates, if any. </w:t>
      </w:r>
    </w:p>
    <w:p>
      <w:pPr>
        <w:pStyle w:val="TextBody"/>
        <w:bidi w:val="0"/>
        <w:spacing w:before="120" w:after="0"/>
        <w:jc w:val="left"/>
        <w:rPr>
          <w:rFonts w:ascii="Times New Roman" w:hAnsi="Times New Roman"/>
          <w:sz w:val="20"/>
        </w:rPr>
      </w:pPr>
      <w:r>
        <w:rPr>
          <w:rFonts w:ascii="Times New Roman" w:hAnsi="Times New Roman"/>
          <w:sz w:val="20"/>
        </w:rPr>
        <w:t xml:space="preserve">At present, we have no sales or marketing personnel. We intend to leverage the sales force and marketing capacities of our parent company, Scilex, to commercialize our current product candidate, SP-102, if approved. As we further grow after the launch of the SP-102, if approved, we will establish our sales, marketing or product distribution strategy for our product candidates. We may use strategic partners, distributors, a contract sales force or establish our own commercial sales force. If we are not successful in recruiting sales and marketing personnel and building a sales and marketing infrastructure or entering into appropriate collaboration arrangements with third parties, we will have difficulty successfully commercializing our product candidate, if approved, which would adversely affect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and retain adequate numbers of effective sales and marketing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persuade adequate numbers of physicians to prescribe any of our product candidates,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and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internal sales and marketing organization.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substantial additional funding, which may not be available to us on acceptable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have consumed substantial amounts of cash since inception. We expect to significantly increase our spending to advance development of our current product candidate and launch and commercialize any product candidate for which we receive regulatory approval. Furthermore, we expect to incur additional costs associated with operating as a public company. We will also require additional capital to fund our other operating expenses and capital expenditures.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2025, our cash and cash equivalents were $0.1 million and we had an accumulated deficit of $269.6 million. The amount and timing of our future funding requirements will depend on many factors, some of which are outside of our control, including but not limited to: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conducting studies and clinical trials for our product candidate, SP-102;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our product candidate;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manufacturing our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royalty or other payments we are required to make pursuant to any current or future collaboration or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potential requirement to reimburse Scilex for up to an aggregate of $280 million in respect of milestone payments under the Semnur Merger Agreement through an intercompany arrangement between Scilex and Semnur, which arrangement is not currently in place (see the section titled “</w:t>
            </w:r>
            <w:r>
              <w:rPr>
                <w:rFonts w:ascii="Times New Roman" w:hAnsi="Times New Roman"/>
                <w:i/>
                <w:sz w:val="20"/>
              </w:rPr>
              <w:t>Business – Material Agreements — Semnur Merger Agreement</w:t>
            </w:r>
            <w:r>
              <w:rPr>
                <w:rFonts w:ascii="Times New Roman" w:hAnsi="Times New Roman"/>
                <w:sz w:val="20"/>
              </w:rPr>
              <w:t xml:space="preserve">” for additional information regarding Scilex’s obligations under the Semnur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product candidate, if approved for commercialization, are adopted by the physician community;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expand our research and development activities;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acquiring, licensing or investing in businesses, product candidate and technologies;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products and product candidates and other market developments;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types of future products or product candidates we develop and commercialize;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product liability or other lawsuits related to our current or future product candidates;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needed to attract, hire and retain skilled personnel;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after the closing of the Business Combination;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implement additional internal systems and infrastructure, including financial and reporting systems;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public shares that are redeemed by Denali’s public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and maintaining, enforcing and defending intellectual property-related claims;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and scope of our general and administrative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we are able to generate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current and future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current or future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generate sufficient cash to service our indebtedness and other liquidity needs.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payments on and to refinance our indebtedness and to fund our other obligations, planned capital expenditures and other strategic investments will depend on our ability to generate cash in the future. This, to a certain extent, is subject to general economic, financial, competitive, legislative, regulatory and other factors that are beyond our control. We may not generate sufficient cash flow from operations, and we cannot assure you that future borrowings will be available to us in an amount sufficient to enable us to pay our indebtedness or to fund our other liquidity needs. </w:t>
      </w:r>
    </w:p>
    <w:p>
      <w:pPr>
        <w:pStyle w:val="TextBody"/>
        <w:bidi w:val="0"/>
        <w:spacing w:before="240" w:after="0"/>
        <w:jc w:val="left"/>
        <w:rPr>
          <w:rFonts w:ascii="Times New Roman" w:hAnsi="Times New Roman"/>
          <w:sz w:val="20"/>
        </w:rPr>
      </w:pPr>
      <w:r>
        <w:rPr>
          <w:rFonts w:ascii="Times New Roman" w:hAnsi="Times New Roman"/>
          <w:sz w:val="20"/>
        </w:rPr>
        <w:t>If we do not generate cash flow from operations sufficient to pay our debt service or other obligations, we may have to undertake alternative financing plans, such as refinancing or restructuring our debt, selling assets, reducing or delaying capital investments or seeking to raise additional capital. Our ability to refinance our debt and fund other obligations will depend on the condition of the capital markets and our financial condition at that time. Any refinancing of our debt could be at higher interest rates and may require us to comply with more onerous covenants, which could further restrict our business operations. See Note 3 titled “</w:t>
      </w:r>
      <w:r>
        <w:rPr>
          <w:rFonts w:ascii="Times New Roman" w:hAnsi="Times New Roman"/>
          <w:i/>
          <w:sz w:val="20"/>
        </w:rPr>
        <w:t>Liquidity and Going Concern</w:t>
      </w:r>
      <w:r>
        <w:rPr>
          <w:rFonts w:ascii="Times New Roman" w:hAnsi="Times New Roman"/>
          <w:sz w:val="20"/>
        </w:rPr>
        <w:t xml:space="preserve">” of our financial statements included elsewhere in this prospectus, for a discussion regarding our ability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recurring losses from operations, negative cash flows and substantial cumulative net losses raise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In Note 1 under the subsection titled “</w:t>
      </w:r>
      <w:r>
        <w:rPr>
          <w:rFonts w:ascii="Times New Roman" w:hAnsi="Times New Roman"/>
          <w:i/>
          <w:sz w:val="20"/>
        </w:rPr>
        <w:t>Liquidity and Going Concern</w:t>
      </w:r>
      <w:r>
        <w:rPr>
          <w:rFonts w:ascii="Times New Roman" w:hAnsi="Times New Roman"/>
          <w:sz w:val="20"/>
        </w:rPr>
        <w:t xml:space="preserve">” of our financial statements for the period ended September 30, 2025 included elsewhere in prospectus, we disclose that there is substantial doubt about our ability to continue as a going concern. In addition, our independent registered public accounting firm included an explanatory paragraph in its report on our financial statements as of and for the year ended December 31, 2024, which stated that substantial doubt existed about our ability to continue as a going concern. We have negative working capital and have incurred significant operating losses and negative cash flows from operations and expect to continue incurring losses for the foreseeable future. Further, we had an accumulated deficit of approximately $269.6 million and $115.4 million as of September 30, 2025 and December 31, 2024, respectively. These conditions raise substantial doubt about our ability to continue as a going concern. Our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If we are unable to obtain sufficient funding, our financial condition and results of operations will be materially and adversely affected and we may be unable to continue as a going concern. Our financial statements disclose, and may in the future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Any material weakness may cause us to fail to timely and accurately report our financial results or result in a material misstatement of our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audit of our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years ended December 31, 2023 and 2022, the material weaknesses identified in our internal control over financial reporting related to ineffective control activities in the areas of preparation of the carve-out financial statements and stock-based compensation expense. As a result of the material weaknesses, we are implementing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restated financial statements included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Product Development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substantially dependent on the success of our only product candidate, SP-102. If we are unable to complete development of, obtain approval for and commercialize SP-102 in a timely manner or at all,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is dependent on our ability to timely advance and complete clinical trials, obtain marketing approval for and successfully commercialize our product candidate, SP-102. We are not permitted to market or promote SP-102 or any other future product candidate before we receive marketing approval from the FDA and comparable foreign regulatory authorities, and we may never receive such marketing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SP-102 and any future product candidates, if any, will depend on several factors,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of individual investigational review boards (“IRBs”) and scientific review committees at each clinical trial site as to the adequacy of the preclinical data package to support clinical development of SP-102 and their overall general agreement with the use of SP-102 in the intended patient population in the intended manner;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successful patient enrollment and completion of additional clinical trials of SP-102 on a timely basis;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adverse events (“AEs”) in the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establishing relationships with contract research organizations (“CROs”) and clinical sites for the clinical development of SP-102 both in the United States and internationally;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completion of toxicology studies, biodistribution studies and minimally efficacious dose studies in animals, where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completion of clinical trials, under the FDA’s current Good Clinical Practices (“GCP”) and the FDA’s current Good Laboratory Practices (“GLPs”);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 investigational new drug applications or Clinical Trial Authorizations that allow commencement of our planned clinical trials or future clinical trials for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safety and tolerability profiles that are satisfactory to the FDA, EMA or any comparable foreign regulatory authority for marketing approval;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timely receipt of marketing approvals for our product candidates from applicable regulatory authorities;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existing or the establishment of new supply arrangements with third-party suppliers and manufacturers for clinical development of SP-102;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existing, or the establishment of new, scaled production arrangements with third- party manufacturers to obtain finished products that are appropriate for commercial sale of SP-102, if it is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protection, trade secret protection and regulatory exclusivity, both in the United States and internationally;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continued acceptable safety profile following any marketing approval;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commercial acceptance by patients, the medical community and third-party payors;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coverage and adequate reimbursement from third-party payors for our product candidates, if approved, and patients’ willingness to pay out-of-pocket in the absence of such coverage and adequate reimbursement; and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with other treatments.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SP-102, which would materially harm our business. If we do not receive marketing approvals for SP-102, we may not be able to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 in the delivery of our clinical supplies which could affect the development of SP-102. </w:t>
      </w:r>
    </w:p>
    <w:p>
      <w:pPr>
        <w:pStyle w:val="TextBody"/>
        <w:bidi w:val="0"/>
        <w:spacing w:before="120" w:after="0"/>
        <w:jc w:val="left"/>
        <w:rPr>
          <w:rFonts w:ascii="Times New Roman" w:hAnsi="Times New Roman"/>
          <w:sz w:val="20"/>
        </w:rPr>
      </w:pPr>
      <w:r>
        <w:rPr>
          <w:rFonts w:ascii="Times New Roman" w:hAnsi="Times New Roman"/>
          <w:sz w:val="20"/>
        </w:rPr>
        <w:t xml:space="preserve">Historically, we have purchased our clinical and commercial supply requirements for sodium hyaluronate, one of the excipients for SP-102, solely from Genzyme Corporation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Although we are currently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discussions with Sanofi S.A. (“Sanofi”), an affiliate of Genzyme, and are in the process of identifying and certifying new suppliers, in each case to fulfill our future supply requirements for sodium hyaluronate, we may not be able to reach agreement with Sanofi or find an alternative supplier of sodium hyaluronate on commercially reasonable terms, or at all. There is also no guarantee that we will be able to commence a commercial launch of SP-102 in 2027 or ever, as any such launch would be subject to regulatory approval, which we may not receive. </w:t>
      </w:r>
    </w:p>
    <w:p>
      <w:pPr>
        <w:pStyle w:val="TextBody"/>
        <w:bidi w:val="0"/>
        <w:spacing w:before="240" w:after="0"/>
        <w:jc w:val="left"/>
        <w:rPr>
          <w:rFonts w:ascii="Times New Roman" w:hAnsi="Times New Roman"/>
          <w:sz w:val="20"/>
        </w:rPr>
      </w:pPr>
      <w:r>
        <w:rPr>
          <w:rFonts w:ascii="Times New Roman" w:hAnsi="Times New Roman"/>
          <w:sz w:val="20"/>
        </w:rPr>
        <w:t xml:space="preserve">Under our Master Services Agreement, dated January 27, 2017 (as amended, the “Lifecore Master Services Agreement”), with Lifecore Biomedical, LLC (“Lifecore”), we depend on Lifecore to manufacture clinical supplies of SP-102. Lifecore has the right to terminate the Lifecore Master Services Agreement under certain circumstances, including, but not limited to: (1) if we are in material breach of the agreement and fail to cure such breach within 30 days of written notice; (2) if we (a) become insolvent, (b) cease to function as a going concern, (c) become convicted of or plead guilty to a charge of violating any law relating to either party’s business, or (d) engage in any act which materially impairs goodwill associated with SP-102 or materially impairs the terminating party’s trademark or trade name; (3) if we fail to pay past due invoices upon 30 days’ written notice, or (4) if we reject or fail to respond to a major change proposed by Lifecore that does not change Semnur’s written and approved acceptance criteria in its product specifications. In the event that Lifecore decides to terminate the Lifecore Master Services Agreement, finding an alternative manufacturer on commercially reasonable terms, or at all, may be difficult. The Lifecore Master Services Agreement expires on December 31, 2028, unless terminated earlier in accordance with the terms of such agreement, or unless renewed further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 candidate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product candidate may compete with other product candidates and products for access to manufacturing facilities and other supplies. There are a limited number of manufacturers that operate under current Good Manufacturing Practices (“cGMP”) regulations and that might be capable of manufacturing for us. Also, prior to the approval of our product candidate,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 </w:t>
      </w:r>
    </w:p>
    <w:p>
      <w:pPr>
        <w:pStyle w:val="TextBody"/>
        <w:bidi w:val="0"/>
        <w:spacing w:before="240" w:after="0"/>
        <w:jc w:val="left"/>
        <w:rPr>
          <w:rFonts w:ascii="Times New Roman" w:hAnsi="Times New Roman"/>
          <w:sz w:val="20"/>
        </w:rPr>
      </w:pPr>
      <w:r>
        <w:rPr>
          <w:rFonts w:ascii="Times New Roman" w:hAnsi="Times New Roman"/>
          <w:sz w:val="20"/>
        </w:rPr>
        <w:t xml:space="preserve">If our clinical supply of our product candidate and certain of the raw materials used in our product candidate are disrupted or delayed, there can be no assurance that alternative sources can serve as adequate replacements or that supplies will be available on terms that are favorable to us, if at all. Any disruption in supply could affect the development of SP-102.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current and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do not have the ability to independently conduct any clinical trials. The FDA and regulatory authorities in other jurisdictions require us to comply with regulations and standards, commonly referred to as GCP requirements for conducting, monitoring, recording and reporting the results of clinical trials, in order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GCP-compliant clinical trials of our current and future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 clinical trials, we could be subject to warning letters or enforcement actions that may include civil penalties up to and including criminal prosecution. </w:t>
      </w:r>
    </w:p>
    <w:p>
      <w:pPr>
        <w:pStyle w:val="TextBody"/>
        <w:bidi w:val="0"/>
        <w:spacing w:before="240" w:after="0"/>
        <w:jc w:val="left"/>
        <w:rPr>
          <w:rFonts w:ascii="Times New Roman" w:hAnsi="Times New Roman"/>
          <w:sz w:val="20"/>
        </w:rPr>
      </w:pPr>
      <w:r>
        <w:rPr>
          <w:rFonts w:ascii="Times New Roman" w:hAnsi="Times New Roman"/>
          <w:sz w:val="20"/>
        </w:rPr>
        <w:t xml:space="preserve">Many of the third parties with whom we contract may also have relationships with other commercial entities, including our competitors, for whom they may also be conducting clinical trials or other drug 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w:t>
      </w:r>
    </w:p>
    <w:p>
      <w:pPr>
        <w:pStyle w:val="TextBody"/>
        <w:bidi w:val="0"/>
        <w:spacing w:before="240" w:after="0"/>
        <w:jc w:val="left"/>
        <w:rPr>
          <w:rFonts w:ascii="Times New Roman" w:hAnsi="Times New Roman"/>
          <w:sz w:val="20"/>
        </w:rPr>
      </w:pPr>
      <w:r>
        <w:rPr>
          <w:rFonts w:ascii="Times New Roman" w:hAnsi="Times New Roman"/>
          <w:sz w:val="20"/>
        </w:rPr>
        <w:t xml:space="preserve">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current and future product candidates would be harmed, our costs could increase, and our ability to generate revenue could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enter into collaborations, in-licensing arrangements, joint ventures, or strategic alliances with third-parties that may not result in the development of commercially viable products or the generation of significant future revenues.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enter into collaborations, in-licensing arrangements, joint ventures, or strategic alliances to develop proposed products and to pursue new markets. </w:t>
      </w:r>
    </w:p>
    <w:p>
      <w:pPr>
        <w:pStyle w:val="TextBody"/>
        <w:bidi w:val="0"/>
        <w:spacing w:before="240" w:after="0"/>
        <w:jc w:val="left"/>
        <w:rPr>
          <w:rFonts w:ascii="Times New Roman" w:hAnsi="Times New Roman"/>
          <w:sz w:val="20"/>
        </w:rPr>
      </w:pPr>
      <w:r>
        <w:rPr>
          <w:rFonts w:ascii="Times New Roman" w:hAnsi="Times New Roman"/>
          <w:sz w:val="20"/>
        </w:rPr>
        <w:t xml:space="preserve">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Delays in clinical trials could result in increased costs to us and delay our ability to obtain commercial approval and generate revenue.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for the sale of any of our current or future product candidates, we must conduct extensive clinical trials to demonstrate the safety and efficacy of our product candidates for their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regulatory authorizations to commence a clinical trial or reaching a consensus with regulatory authorities on trial design;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prospective clinical investigators or clinical trial sites that have necessary qualifications, interest and capacity to perform a requested protocol;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prospective CROs and clinical trial sites, the terms of which can be subject to extensive negotiation and may vary significantly among different CROs and clinical trial sites;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approval from one or more IRBs;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IRBs refusing to approve, suspending or terminating the trial at the investigational site, precluding enrollment of additional subjects, or withdrawing their approval of the trial;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the clinical trial protocol;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suitable subjects to participate in our clinical trials;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us, any CROs we engage or any other third parties to adhere to clinical trial requirements;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GCPs;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the testing, validation, manufacturing and delivery of our product candidates to the clinical sites, including delays by third parties with whom we have contracted to perform certain of those functions;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subjects completing participation in a trial or returning for post-treatment follow-up;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or subjects dropping out of a trial;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key investigators departing their clinical sites;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the trial;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endpoints that require prolonged periods of clinical observation or analysis of the resulting data;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subjects experiencing severe or unexpected drug-related adverse effects;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clinical hold by regulatory authorities as a result of a serious adverse event, after an inspection of our clinical trial operations, trial sites or manufacturing facilities, or for other reasons;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(“SAEs”) in our trials or in trials of the same class of agents conducted by other sponsors;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or guidance that require amending or submitting new clinical protocols;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facility manufacturing our product candidates or any of their components being ordered by the FDA to temporarily or permanently shut down due to violations of cGMP regulations or other applicable requirements;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our manufacturing process that may be necessary or desired;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clinical investigators losing the licenses or permits necessary to perform our clinical trials and/or not performing our clinical trials on our anticipated schedule or consistent with the clinical trial protocol, GCP, or other regulatory requirements;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not performing data collection or analysis in a timely or accurate manner;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00" w:after="0"/>
        <w:jc w:val="left"/>
        <w:rPr>
          <w:rFonts w:ascii="Times New Roman" w:hAnsi="Times New Roman"/>
          <w:sz w:val="20"/>
        </w:rPr>
      </w:pPr>
      <w:r>
        <w:rPr>
          <w:rFonts w:ascii="Times New Roman" w:hAnsi="Times New Roman"/>
          <w:sz w:val="20"/>
        </w:rPr>
        <w:t xml:space="preserve">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to conduct additional studies to bridge our modified product candidates to earlier versions. We do not know whether any of our clinical trials, including our planned clinical trial of SP-102,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t>
      </w:r>
    </w:p>
    <w:p>
      <w:pPr>
        <w:pStyle w:val="TextBody"/>
        <w:bidi w:val="0"/>
        <w:spacing w:before="320" w:after="0"/>
        <w:jc w:val="left"/>
        <w:rPr>
          <w:rFonts w:ascii="Times New Roman" w:hAnsi="Times New Roman"/>
          <w:b/>
          <w:i/>
          <w:sz w:val="20"/>
        </w:rPr>
      </w:pPr>
      <w:r>
        <w:rPr>
          <w:rFonts w:ascii="Times New Roman" w:hAnsi="Times New Roman"/>
          <w:b/>
          <w:i/>
          <w:sz w:val="20"/>
        </w:rPr>
        <w:t xml:space="preserve">Even if we complete the necessary clinical trials, we cannot predict when, or if, we will obtain regulatory approval for our product candidates and the approval may be for a more narrow indication than we seek. </w:t>
      </w:r>
    </w:p>
    <w:p>
      <w:pPr>
        <w:pStyle w:val="TextBody"/>
        <w:bidi w:val="0"/>
        <w:spacing w:before="120" w:after="0"/>
        <w:jc w:val="left"/>
        <w:rPr>
          <w:rFonts w:ascii="Times New Roman" w:hAnsi="Times New Roman"/>
          <w:sz w:val="20"/>
        </w:rPr>
      </w:pPr>
      <w:r>
        <w:rPr>
          <w:rFonts w:ascii="Times New Roman" w:hAnsi="Times New Roman"/>
          <w:sz w:val="20"/>
        </w:rPr>
        <w:t xml:space="preserve">We cannot commercialize our current and future product candidates, if any, until the appropriate regulatory authorities have reviewed and approved the product candidates. The process of obtaining regulatory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subsequent compliance with appropriate federal, state and local statutes and regulations require the expenditure of substantial time and financial resources and we may not be able to obtain the required regulatory approvals. Even if a product candidate meets the safety and efficacy endpoints in clinical trials, the data may not be considered sufficient by regulatory authorities, those regulatory authorities may not complete their review processes in a timely manner, or we may not be able to obtain regulatory approval. Additional delays may result if an FDA advisory committee is convened, including if such advisory committee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 </w:t>
      </w:r>
    </w:p>
    <w:p>
      <w:pPr>
        <w:pStyle w:val="TextBody"/>
        <w:bidi w:val="0"/>
        <w:spacing w:before="240" w:after="0"/>
        <w:jc w:val="left"/>
        <w:rPr>
          <w:rFonts w:ascii="Times New Roman" w:hAnsi="Times New Roman"/>
          <w:sz w:val="20"/>
        </w:rPr>
      </w:pPr>
      <w:r>
        <w:rPr>
          <w:rFonts w:ascii="Times New Roman" w:hAnsi="Times New Roman"/>
          <w:sz w:val="20"/>
        </w:rPr>
        <w:t xml:space="preserve">Even if we receive regulatory approval, the FDA may approve a product candidate for more limited indications than requested or they may impose significant limitations in the form of narrow indications, black box warnings or a Risk Evaluation and Mitigation Strategy (“REMS”). The FDA may require labeling that includes warnings and precautions or contra-indications with respect to conditions of use, or may grant approval subject to the performance of costly post-marketing clinical trials. In addition, the FDA may not approve the labeling claims that are considered necessary or desirable for the successful commercialization of a product candidate. Any of the foregoing scenarios could materially harm the commercial prospects for a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results of any clinical trials are inconclusive or if there are safety concerns or SAEs associated with a product candidate, we may: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delayed or fail in obtaining marketing approval for a product candidate;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we intended or desired;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changes in the way the product candidate is administered;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required to perform additional clinical trials to support approval or be subject to additional post- marketing testing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regulatory authorities withdraw, or suspend, their approval of the product or impose restrictions on its distribution in the form of a modified REMS;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sued and held liable for harm caused to patients; or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damage to our reputation.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may find it difficult to enroll or maintain patients in our clinical trials, which could delay or prevent us from proceeding with clinical trials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any clinical trials of our current and future product candidates is critical to our success. The timing of any clinical trials depends on our ability to recruit patients and to complete required follow-up periods. If patients are unwilling to participate in our clinical trials due to negative publicity from adverse events, competitive clinical trials for similar patient populations, or for other reasons, the timeline for recruiting patients, conducting trials and potentially obtaining regulatory approval may be delayed. </w:t>
      </w:r>
    </w:p>
    <w:p>
      <w:pPr>
        <w:pStyle w:val="TextBody"/>
        <w:bidi w:val="0"/>
        <w:spacing w:before="240" w:after="0"/>
        <w:jc w:val="left"/>
        <w:rPr>
          <w:rFonts w:ascii="Times New Roman" w:hAnsi="Times New Roman"/>
          <w:sz w:val="20"/>
        </w:rPr>
      </w:pPr>
      <w:r>
        <w:rPr>
          <w:rFonts w:ascii="Times New Roman" w:hAnsi="Times New Roman"/>
          <w:sz w:val="20"/>
        </w:rPr>
        <w:t xml:space="preserve">We may also experience delays if patients withdraw from a clinical trial or do not complete the required monitoring period. These delays could result in increased costs, delays in advancing our product candidates, delays in testing the effectiveness of our product candidates or termination of clinical trials altogether.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is affected by many factors, including: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clinical sites;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and exclusion criteria for the trial;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enrolled patients will not complete a clinical trial;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monitor patients adequately during and after treatment;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disruptions caused by the COVID-19 pandemic (or other similar disruptions), including difficulties in initiating clinical sites, enrolling and retaining participants, diversion of healthcare resources away from clinical trials, travel or quarantine policies that may be implemented and other factors;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clinical trial investigators with the appropriate competencies and experience;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in relation to other available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for which we currently plan to evaluate our product candidates are common, but the eligibility criteria of our clinical trials limit the pool of available trial participants. For example, we experienced a delay in the enrollment of our now completed SP-102 Phase 3 clinical trial in sciatica due to the selective eligibility criteria in place to reduce the placebo effect and the impacts of COVID-19, and may experience similar issues with enrollment of our other planned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Under the federal Food and Drug Omnibus Reform Act (the “FDORA”), sponsors are required to develop and submit a diversity action plan for each Phase 3 clinical trial or any other “pivotal study” of a new drug product. These plans are meant to encourage enrollment of more diverse patient populations in late-stage clinical trials of FDA-regulated products. In June 2024, as mandated by FDORA, the FDA issued draft guidance outlining the general requirements for diversity action plans. Unlike most guidance documents issued by the FDA, the diversity action plan guidance, when finalized, will have the force of law. In January 2025, in response to an executive order issued by President Trump on diversity, equity and inclusion programs, the FDA removed this draft guidance from its website. The implications of this action are not yet known. If we are not able to adhere to any new or future requirements, our ability to conduct clinical trials may be delayed or halted.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clinical trials will compete with other clinical trials for product candidates that are in the same therapeutic areas as our product candidates, and this competition will reduce the number and types of patients available to it,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incidence and prevalence for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Periodically, we make estimates regarding the incidence and prevalence of target patient populations of our product candidates based on various third-party sources and internally generated analyses and use such estimates in making decisions regarding our product development strategy, including acquiring or in-licensing product candidates and determining indications on which to focus in preclinical studies or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These estimates may be inaccurate or based on imprecise data. For example, the total addressable market opportunities will depend on, among other things, acceptance by the medical community and patient access, drug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and our competitors may discover, develop or commercialize products faster or more successfully than us.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intense competition and rapid technological advances. In addition, the competition in the pain management market, and other relevant markets, is intense. </w:t>
      </w:r>
    </w:p>
    <w:p>
      <w:pPr>
        <w:pStyle w:val="TextBody"/>
        <w:bidi w:val="0"/>
        <w:spacing w:before="200" w:after="0"/>
        <w:jc w:val="left"/>
        <w:rPr>
          <w:rFonts w:ascii="Times New Roman" w:hAnsi="Times New Roman"/>
          <w:sz w:val="20"/>
        </w:rPr>
      </w:pPr>
      <w:r>
        <w:rPr>
          <w:rFonts w:ascii="Times New Roman" w:hAnsi="Times New Roman"/>
          <w:sz w:val="20"/>
        </w:rPr>
        <w:t xml:space="preserve">SP-102,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SP-102, if approved, also will compete with various opioid pain medications, Nonsteroidal Anti-Inflammatory Drugs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 </w:t>
      </w:r>
    </w:p>
    <w:p>
      <w:pPr>
        <w:pStyle w:val="TextBody"/>
        <w:bidi w:val="0"/>
        <w:spacing w:before="200" w:after="0"/>
        <w:jc w:val="left"/>
        <w:rPr>
          <w:rFonts w:ascii="Times New Roman" w:hAnsi="Times New Roman"/>
          <w:sz w:val="20"/>
        </w:rPr>
      </w:pPr>
      <w:r>
        <w:rPr>
          <w:rFonts w:ascii="Times New Roman" w:hAnsi="Times New Roman"/>
          <w:sz w:val="20"/>
        </w:rPr>
        <w:t xml:space="preserve">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 </w:t>
      </w:r>
    </w:p>
    <w:p>
      <w:pPr>
        <w:pStyle w:val="TextBody"/>
        <w:bidi w:val="0"/>
        <w:spacing w:before="200" w:after="0"/>
        <w:jc w:val="left"/>
        <w:rPr>
          <w:rFonts w:ascii="Times New Roman" w:hAnsi="Times New Roman"/>
          <w:sz w:val="20"/>
        </w:rPr>
      </w:pPr>
      <w:r>
        <w:rPr>
          <w:rFonts w:ascii="Times New Roman" w:hAnsi="Times New Roman"/>
          <w:sz w:val="20"/>
        </w:rPr>
        <w:t xml:space="preserve">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 </w:t>
      </w:r>
    </w:p>
    <w:p>
      <w:pPr>
        <w:pStyle w:val="TextBody"/>
        <w:bidi w:val="0"/>
        <w:spacing w:before="200" w:after="0"/>
        <w:jc w:val="left"/>
        <w:rPr>
          <w:rFonts w:ascii="Times New Roman" w:hAnsi="Times New Roman"/>
          <w:sz w:val="20"/>
        </w:rPr>
      </w:pPr>
      <w:r>
        <w:rPr>
          <w:rFonts w:ascii="Times New Roman" w:hAnsi="Times New Roman"/>
          <w:sz w:val="20"/>
        </w:rPr>
        <w:t xml:space="preserve">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commercial success depends upon attaining significant market acceptance of our product candidates, if approved, among physicians, patients, healthcare payers and operators of major clinics, and we may not be successful in attaining such market acceptance. </w:t>
      </w:r>
    </w:p>
    <w:p>
      <w:pPr>
        <w:pStyle w:val="TextBody"/>
        <w:bidi w:val="0"/>
        <w:spacing w:before="120" w:after="0"/>
        <w:jc w:val="left"/>
        <w:rPr>
          <w:rFonts w:ascii="Times New Roman" w:hAnsi="Times New Roman"/>
          <w:sz w:val="20"/>
        </w:rPr>
      </w:pPr>
      <w:r>
        <w:rPr>
          <w:rFonts w:ascii="Times New Roman" w:hAnsi="Times New Roman"/>
          <w:sz w:val="20"/>
        </w:rPr>
        <w:t xml:space="preserve">Even with the requisite approvals from the FDA in the U.S., the EMA in the EU and other regulatory authorities internationally, the commercial success of our product candidates will depend, in part,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 benefits of our product candidates may require significant resources, including our management’s time and financial resources, and may not be successful.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 </w:t>
      </w:r>
    </w:p>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of such product candidate as demonstrated in clinical trials;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of other products that are used in combination or in sequence with our product candidates; </w:t>
            </w:r>
          </w:p>
        </w:tc>
      </w:tr>
    </w:tbl>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5"/>
        <w:gridCol w:w="110"/>
        <w:gridCol w:w="60"/>
        <w:gridCol w:w="8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compared to alternative treatments;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limitation to our targeted patient population and limitations or warnings contained in approved labeling by the FDA or other regulatory authorities;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offer our products for sale at competitive prices;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convenience and ease of administration compared to alternative treatments;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candidate is approved by the FDA, the EMA or other regulatory agencies;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novel biologics and of physicians to prescribe these treatments, as well as their willingness to accept an intervention that involves the alteration of the patient’s 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the EMA or other regulatory authorities, including any limitations or warnings contained in a product’s approved labeling;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administration;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third-party coverage and sufficiency of reimbursement; and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is approved, such product may not achieve an adequate level of acceptance, we may not generate significant product revenues, and we may not become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third-party payor coverage and reimbursement status of newly approved products is uncertain. Failure to obtain or maintain coverage and adequate reimbursement for our current or future product candidates, if approved, could decrease our ability to generate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There is significant uncertainty related to the third-party coverage and reimbursement of existing and newly approved products. Market acceptance and sales of our current and future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a product candidate, if approved, may differ significantly from payor to payor, and we may not be able to obtain adequate coverage and reimbursement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obtaining coverage and reimbursement approval for a product from a government or other third-party payor is a time-consuming and costly process that could require us to provide supporting scientific, clinical and cost-effectiveness data for the use of such product candidate, if approved,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our current and future product candidates, if approved,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(“EU”) do not follow price structures of the United States and generally prices tend to be significantly lower.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 SP-102 is expected to be a physician-administered injectable viscous gel and as such, separate reimbursement for the product itself may not be available. Instead, if SP-102 receives regulatory approval, the administering physician may be reimbursed only for providing the treatment or procedure in which SP-102 is used. To the extent separate coverage and reimbursement should become available for SP-102,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Further, the codes used by providers to bill for SP-102,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SP-102. If our product candidate is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physician-administered drugs. Because miscellaneous J-Codes may be used for a wide variety of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The outcome of preclinical studies and early clinical trials may not be predictive of the success of later clinical trials, and interim results of clinical trials do not necessarily predict success in the results of completed clinical trials. There can be no assurance that any of our current or future preclinical and clinical trials will ultimately be successful or support further preclinical or clinical development of our current and future product candidates, if any.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 product development. Any such adverse events may cause us to delay, limit or terminate planned clinical trials, any of which would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 the development timeline and regulatory approval and commercialization prospects for our only product candidate, and, correspondingly, our business and financial prospects would be negatively impacted. A Phase 3 trial was completed for SP-102 for the treatment of sciatica. We may not have the necessary capabilities, including adequate staffing, to successfully manage the execution and completion of such clinical trials in a way that leads to our obtaining marketing approval for our product candidate in a timely manner, or at all. Our clinical trials may produce negative or inconclusive results, and, in the future, we may decide, or regulators may require us, to conduct additional clinical trials and preclinical studies in addition to those we have planned. </w:t>
      </w:r>
    </w:p>
    <w:p>
      <w:pPr>
        <w:pStyle w:val="TextBody"/>
        <w:bidi w:val="0"/>
        <w:spacing w:before="240" w:after="0"/>
        <w:jc w:val="left"/>
        <w:rPr>
          <w:rFonts w:ascii="Times New Roman" w:hAnsi="Times New Roman"/>
          <w:sz w:val="20"/>
        </w:rPr>
      </w:pPr>
      <w:r>
        <w:rPr>
          <w:rFonts w:ascii="Times New Roman" w:hAnsi="Times New Roman"/>
          <w:sz w:val="20"/>
        </w:rPr>
        <w:t xml:space="preserve">In March 2022, we announced final results from our Phase 3 trial for SP-102 and believed that we had sufficient data to support the safety and efficacy of SP-102, which would provide us with a pathway for a 505(b)(2) New Drug Application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 able to satisfy the requirements for a 505(b)(2) pathway approval. Specifically, the FDA reaffirmed the need for a larger sample size and further requested confirmatory evidence of efficacy through a repeat injection. See the section titled “</w:t>
      </w:r>
      <w:r>
        <w:rPr>
          <w:rFonts w:ascii="Times New Roman" w:hAnsi="Times New Roman"/>
          <w:i/>
          <w:sz w:val="20"/>
        </w:rPr>
        <w:t>Business of Semnur – Our Company</w:t>
      </w:r>
      <w:r>
        <w:rPr>
          <w:rFonts w:ascii="Times New Roman" w:hAnsi="Times New Roman"/>
          <w:sz w:val="20"/>
        </w:rPr>
        <w:t xml:space="preserve">” for additional information regarding the meetings with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clinical trials may fail to demonstrate substantial evidence of the safety and efficacy of product candidates that we may identify and pursue for their intended uses, which would prevent,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any of our current and future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our current clinical trials or any other future clinical trials will be successful. Additionally, any safety concerns observed in any one of our clinical trials in our targeted indications could limit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obtain FDA approval for any of our current or future product candidates in the United States, we may never obtain approval for or commercialize any of them in any other jurisdiction, which would limit our ability to realize their full market potential.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any products in any particular jurisdiction, we must establish and comply with numerous and varying regulatory requirements on a country-by-country basis regarding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 </w:t>
      </w:r>
    </w:p>
    <w:p>
      <w:pPr>
        <w:pStyle w:val="TextBody"/>
        <w:bidi w:val="0"/>
        <w:spacing w:before="240" w:after="0"/>
        <w:jc w:val="left"/>
        <w:rPr>
          <w:rFonts w:ascii="Times New Roman" w:hAnsi="Times New Roman"/>
          <w:sz w:val="20"/>
        </w:rPr>
      </w:pPr>
      <w:r>
        <w:rPr>
          <w:rFonts w:ascii="Times New Roman" w:hAnsi="Times New Roman"/>
          <w:sz w:val="20"/>
        </w:rPr>
        <w:t xml:space="preserve">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impeded.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suffer reputational harm due to failures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failure of our current or future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candidates may cause undesirable side effects that could delay or prevent their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pharmaceuticals generally, it is likely that there may be side effects and adverse events associated with our current or future product candidates. In the clinical trials we conduct with our current or future product candidates, patients may experience changes in their health, including illnesses, injuries, discomforts or a fatal outcome. Often, it is not possible to determine whether the 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observed in earlier clinical trials, as well as conditions that did not occur or went undetected in previous clinical trials, will be reported by subjects. Many times, side effects are only detectable after investigational products are tested in large-scale, Phase 3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our current or future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product candidate is complex and difficult to manufacture. We could experience delays in satisfying regulatory authorities or manufacturing problems that result in delays in our development or commercialization programs, limit the supply of our current product candidate, or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depend on contract manufacturers to conduct the manufacturing and supply activities for SP-102. Manufacturing this product candidate requires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 </w:t>
      </w:r>
    </w:p>
    <w:p>
      <w:pPr>
        <w:pStyle w:val="TextBody"/>
        <w:bidi w:val="0"/>
        <w:spacing w:before="240" w:after="0"/>
        <w:jc w:val="left"/>
        <w:rPr>
          <w:rFonts w:ascii="Times New Roman" w:hAnsi="Times New Roman"/>
          <w:sz w:val="20"/>
        </w:rPr>
      </w:pPr>
      <w:r>
        <w:rPr>
          <w:rFonts w:ascii="Times New Roman" w:hAnsi="Times New Roman"/>
          <w:sz w:val="20"/>
        </w:rPr>
        <w:t xml:space="preserve">If contaminations are discovered in our supply of our current product candidate, or any future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 which could limit our access to additional attractive development programs. Problems in our manufacturing process could restrict our ability to meet potential future market demand for products, which could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retain our key executives, it may delay our development efforts and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Jaisim Shah, our Chief Executive Officer and President, Henry Ji, Ph.D., our Executive Chairman, and Stephen Ma, our Chief Financial Officer. The loss of services of these executive officers could delay or prevent the successful development of our product pipeline and completion of our planned clinical trials. We do not carry “key person” insurance on any of our executive officers or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Competition for key executives in the biotechnology and pharmaceuticals field is intense, due to the limited number of individuals who possess the skills and experience required by our industry. Many of the 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increase the size of our company and may not effectively manage our growth. </w:t>
      </w:r>
    </w:p>
    <w:p>
      <w:pPr>
        <w:pStyle w:val="TextBody"/>
        <w:bidi w:val="0"/>
        <w:spacing w:before="120" w:after="0"/>
        <w:jc w:val="left"/>
        <w:rPr>
          <w:rFonts w:ascii="Times New Roman" w:hAnsi="Times New Roman"/>
          <w:sz w:val="20"/>
        </w:rPr>
      </w:pPr>
      <w:r>
        <w:rPr>
          <w:rFonts w:ascii="Times New Roman" w:hAnsi="Times New Roman"/>
          <w:sz w:val="20"/>
        </w:rPr>
        <w:t xml:space="preserve">As of November 28, 2025, we have seven full-time employees, including three employees who have M.D.s or Ph.D.s. As a subsidiary of Scilex, we have been dependent upon the services provided by Scilex employees. Scilex currently has 27 full-time employees, including three employees who have M.D.s or Ph.D.s providing services to us. We will need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 </w:t>
      </w:r>
    </w:p>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recruiting, integrating, maintaining and motivating additional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our internal development efforts effectively, including the clinical, FDA and internal regulatory review process for our current and future product candidates, while complying with our contractual obligations to contractors and other third parties; and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improving our operational, financial and management controls, reporting systems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future financial performance and our ability to commercialize our current and future product candidates will depend, in part, on our ability to effectively manage any future growth, if any, which may cause a significant strain on our management, and our operational, financial and other resources. Our ability to manage our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policies are expensive and protect us only from some business risks, which leaves us exposed to significant uninsured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Although we endeavor to obtain appropriate insurance coverage for insurable risks that we identify, we do not carry insurance for all categories of risk that our business may encounter. </w:t>
      </w:r>
    </w:p>
    <w:p>
      <w:pPr>
        <w:pStyle w:val="TextBody"/>
        <w:bidi w:val="0"/>
        <w:spacing w:before="240" w:after="0"/>
        <w:jc w:val="left"/>
        <w:rPr>
          <w:rFonts w:ascii="Times New Roman" w:hAnsi="Times New Roman"/>
          <w:sz w:val="20"/>
        </w:rPr>
      </w:pPr>
      <w:r>
        <w:rPr>
          <w:rFonts w:ascii="Times New Roman" w:hAnsi="Times New Roman"/>
          <w:sz w:val="20"/>
        </w:rPr>
        <w:t xml:space="preserve">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 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if we will be able to maintain existing insurance with adequate levels of coverage. Any significant uninsured liability may require us to pay substantial amounts, which would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us, we may incur substantial liabilities and may be required to limit commercialization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 candidates, if approved,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from product sales;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we develop;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10"/>
        <w:gridCol w:w="60"/>
        <w:gridCol w:w="3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labeling, the marketing or manufacturing of any product candidates, if approved, withdrawal of the product candidates, if approved, from the market or voluntary or mandatory product recalls;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and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our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t>
      </w:r>
    </w:p>
    <w:p>
      <w:pPr>
        <w:pStyle w:val="TextBody"/>
        <w:bidi w:val="0"/>
        <w:spacing w:before="240" w:after="0"/>
        <w:jc w:val="left"/>
        <w:rPr>
          <w:rFonts w:ascii="Times New Roman" w:hAnsi="Times New Roman"/>
          <w:sz w:val="20"/>
        </w:rPr>
      </w:pPr>
      <w:r>
        <w:rPr>
          <w:rFonts w:ascii="Times New Roman" w:hAnsi="Times New Roman"/>
          <w:sz w:val="20"/>
        </w:rPr>
        <w:t xml:space="preserve">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disruption in our research and development facilities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 of our research and development activities. Although we believe we possess adequate insurance for damage to our property and the disruption of our business from casualties, such insurance may not be sufficient to cover all of our potential losses and 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to grow our business through acquisitions and may fail to realize the anticipated benefits of any acquisition, and acquisitions can be costly and dilutive.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for acquisitions that are not ultimately consummated. Those negotiations could result in diversion of management time and significant out-of-pocket costs.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any acquisition depends on, among other things, our ability to combine our business with an acquired business in a manner that does not materially disrupt existing relationships and that allows us to achieve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 </w:t>
      </w:r>
    </w:p>
    <w:p>
      <w:pPr>
        <w:pStyle w:val="TextBody"/>
        <w:bidi w:val="0"/>
        <w:spacing w:before="240" w:after="0"/>
        <w:jc w:val="left"/>
        <w:rPr>
          <w:rFonts w:ascii="Times New Roman" w:hAnsi="Times New Roman"/>
          <w:sz w:val="20"/>
        </w:rPr>
      </w:pPr>
      <w:r>
        <w:rPr>
          <w:rFonts w:ascii="Times New Roman" w:hAnsi="Times New Roman"/>
          <w:sz w:val="20"/>
        </w:rPr>
        <w:t xml:space="preserve">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conduct business outside of the United States, the international components of our business will expose us to business, legal, regulatory, political, operational, financial and economic risks associated with conducting business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We may collaborate with international manufacturing partners and expand our business internationally in the future. The purchase and shipment of components from international sources will subject us to U.S. and foreign governmental trade, import and export, and customs regulations and laws.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 </w:t>
      </w:r>
    </w:p>
    <w:p>
      <w:pPr>
        <w:pStyle w:val="TextBody"/>
        <w:bidi w:val="0"/>
        <w:spacing w:before="240" w:after="0"/>
        <w:jc w:val="left"/>
        <w:rPr>
          <w:rFonts w:ascii="Times New Roman" w:hAnsi="Times New Roman"/>
          <w:sz w:val="20"/>
        </w:rPr>
      </w:pPr>
      <w:r>
        <w:rPr>
          <w:rFonts w:ascii="Times New Roman" w:hAnsi="Times New Roman"/>
          <w:sz w:val="20"/>
        </w:rPr>
        <w:t xml:space="preserve">Moreover, the new Trump administration has substantially altered prior U.S. government international trade policy and has commenced activities to renegotiate, or potentially terminate, certain existing bilateral or multi- lateral trade agreements and treaties with foreign countries. In addition, the new Trump administration has initiated or is considering imposing tariffs on certain foreign goods. Related to this action, certain foreign governments, including China, have instituted or are considering imposing tariffs on certain U.S. goods. It remains unclear what the new Trump administration or foreign governments will or will not do with respect to tariffs or other international trade agreements and policies. Although the new Trump Administration has not yet implemented tariffs on pharmaceuticals, there can be no assurance that it will not implement such tariffs in the future.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 prices and/or to affect the United States or global economy or certain sectors thereof and, thus, could adversely impact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Conducting business internationally involves a number of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multiple, sometimes conflicting and changing laws and regulations such as tax laws, export and import restrictions, employment laws, anti-bribery and anti-corruption laws, regulatory requirements and other governmental approvals, permits and licenses;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enforcing our intellectual property rights and in defending against third-party threats and intellectual property enforcement actions against us, our distributors or any of our third-party suppliers;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us or our distributors to obtain appropriate licenses or regulatory approvals for the sale or use of our product candidates, if approved, in various countries;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foreign operations;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 and availability of shipping and other means of product transportation;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duties and tariffs, license obligations and other non-tariff barriers to trade;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new trade restrictions;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enforcing agreements and collecting receivables through certain foreign legal systems;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multiple payor-reimbursement regimes or self-pay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political and economic instability, including wars, terrorism and political unrest, outbreak of disease, boycotts, curtailment of trade and other business restrictions;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risks, if encountered, could significantly harm our future international expansion and operations and, consequently, negatively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use of social media platforms presents new risks and challenges. </w:t>
      </w:r>
    </w:p>
    <w:p>
      <w:pPr>
        <w:pStyle w:val="TextBody"/>
        <w:bidi w:val="0"/>
        <w:spacing w:before="120" w:after="0"/>
        <w:jc w:val="left"/>
        <w:rPr>
          <w:rFonts w:ascii="Times New Roman" w:hAnsi="Times New Roman"/>
          <w:sz w:val="20"/>
        </w:rPr>
      </w:pPr>
      <w:r>
        <w:rPr>
          <w:rFonts w:ascii="Times New Roman" w:hAnsi="Times New Roman"/>
          <w:sz w:val="20"/>
        </w:rPr>
        <w:t xml:space="preserve">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 clinical study or to report an alleged adverse event. </w:t>
      </w:r>
    </w:p>
    <w:p>
      <w:pPr>
        <w:pStyle w:val="TextBody"/>
        <w:bidi w:val="0"/>
        <w:spacing w:before="240" w:after="0"/>
        <w:jc w:val="left"/>
        <w:rPr>
          <w:rFonts w:ascii="Times New Roman" w:hAnsi="Times New Roman"/>
          <w:sz w:val="20"/>
        </w:rPr>
      </w:pPr>
      <w:r>
        <w:rPr>
          <w:rFonts w:ascii="Times New Roman" w:hAnsi="Times New Roman"/>
          <w:sz w:val="20"/>
        </w:rPr>
        <w:t xml:space="preserve">When such disclosures occur, there is a risk that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operations would suffer in the event of a system failure.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implemented and maintain security measures, our computer systems and those of our CROs and other contractors and consultants are vulnerable to computer viruses, unauthorized access, cybersecurity attacks, and other security incidents, including as perpetrated by hackers, or as the result of natural disasters, terrorism, war, or telecommunications or electrical failures. While we have not experienced any material system failure or a security breach to date, if such an event were to occur, it could result in a material disruption of our product development programs or a loss of our trade secrets or other proprietary information. For example,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a security incident or privacy violation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 under laws and regulations that protect personal data, resulting in increased costs or loss of revenue. Our ability to effectively manage and maintain our internal business information depends significantly on our enterprise resource planning (“ERP”) system and other information systems. Portions of our information technology systems may experience interruptions, delays, or cessations of service or produce errors in connection with ongoing systems implementation work. Cybersecurity attacks in particular are continually evolving and include, but are not limited to, malicious software, ransomware, attempts to gain unauthorized access to data under our custody or control, and other electronic security breaches that could lead to disruptions in systems, misappropriation of confidential or otherwise protected information, and corruption of data. If we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In addition, these breaches and other unauthorized access to our systems can be difficult to detect, and any delay in identifying any such event may lead to increased harm of the type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continued hostilities between Russia and Ukraine and, more recently, Hamas’ attack against Israel and the ensuing conflict. </w:t>
      </w:r>
    </w:p>
    <w:p>
      <w:pPr>
        <w:pStyle w:val="TextBody"/>
        <w:bidi w:val="0"/>
        <w:spacing w:before="240" w:after="0"/>
        <w:jc w:val="left"/>
        <w:rPr>
          <w:rFonts w:ascii="Times New Roman" w:hAnsi="Times New Roman"/>
          <w:sz w:val="20"/>
        </w:rPr>
      </w:pPr>
      <w:r>
        <w:rPr>
          <w:rFonts w:ascii="Times New Roman" w:hAnsi="Times New Roman"/>
          <w:sz w:val="20"/>
        </w:rPr>
        <w:t xml:space="preserve">In addition, Russia’s invasion of Ukraine and sanctions against Russia are causing disruptions to global economic conditions. The escalation in October 2023 of the conflict between Israel and Hamas also could cause disruptions to global economic conditions and affect the stability of the Middle East region.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 </w:t>
      </w:r>
    </w:p>
    <w:p>
      <w:pPr>
        <w:pStyle w:val="TextBody"/>
        <w:bidi w:val="0"/>
        <w:spacing w:before="240" w:after="0"/>
        <w:jc w:val="left"/>
        <w:rPr>
          <w:rFonts w:ascii="Times New Roman" w:hAnsi="Times New Roman"/>
          <w:sz w:val="20"/>
        </w:rPr>
      </w:pPr>
      <w:r>
        <w:rPr>
          <w:rFonts w:ascii="Times New Roman" w:hAnsi="Times New Roman"/>
          <w:sz w:val="20"/>
        </w:rPr>
        <w:t xml:space="preserve">Our general business strategy may be adversely affected by any such economic downturn, volatile business environment or continued unpredictable and unstable market conditions. If the current equity and credit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effectively monitor and respond to the rapid and evolving developments and expectations relating to sustainability, including the environmental, social and governance matters, may impose unexpected costs or results in reputational or other harm that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There is an increasing focus from certain investors, employees, regulators, listing exchanges and other stakeholders concerning corporate responsibility and sustainability matters, including with regard to environmental, social and governance (“ESG”) factors. Some investors and investor groups may use these factors—either positively or negatively—to guide their investment strategies and, in some cases, investors may choose not to invest in us if they believe our policies or practices relating to corporate responsibility and sustainability do not align with their expectations. Currently, a variety of third-party providers of corporate responsibility and sustainability ratings measure the performance of companies on ESG topics, and the results of these assessments are widely publicized. Investors, particularly institutional investors, use these ratings to benchmark companies against their peers, and major institutional investors have publicly emphasized the importance of ESG measures to their investment decisions. Topics taken into account in such assessments include, among others, companies’ efforts and impacts on climate change, human rights, business ethics and compliance, diversity, equity and inclusion and the role of companies’ board of directors in overseeing various sustainability-related issues. In light of investors’ increased focus on sustainability matters, if we are, for example, perceived as lagging in taking steps with respect to ESG initiatives, certain investors may seek to engage with us on improving our ESG disclosures or performance. They may also make voting decisions or take other actions to hold us and the Board accountable.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rapidly evolving developments and changing expectations relating to sustainability matters. As a result, the criteria by which our corporate responsibility and sustainability practices are assessed may change, which could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We may face risk of litigation or reputational damage in the event that our sustainability policies or practices do not meet the standards set by various constituencies. </w:t>
      </w:r>
    </w:p>
    <w:p>
      <w:pPr>
        <w:pStyle w:val="TextBody"/>
        <w:bidi w:val="0"/>
        <w:spacing w:before="240" w:after="0"/>
        <w:jc w:val="left"/>
        <w:rPr>
          <w:rFonts w:ascii="Times New Roman" w:hAnsi="Times New Roman"/>
          <w:sz w:val="20"/>
        </w:rPr>
      </w:pPr>
      <w:r>
        <w:rPr>
          <w:rFonts w:ascii="Times New Roman" w:hAnsi="Times New Roman"/>
          <w:sz w:val="20"/>
        </w:rPr>
        <w:t xml:space="preserve">We may also face reputational damage if we are unable to achieve an acceptable sustainability rating from third- party rating services. A low sustainability rating by a third-party rating service could also result in the exclusion of our Common Stock from consideration by certain investors who may elect to invest with our competitors instead. Ongoing focus on corporate responsibility and sustainability matters by investors and other stakeholders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 our emphasis on sustainability issues may not maximize short-term financial results and may yield financial results that conflict with the market’s expectations. We may in the future make business decisions consistent with our sustainability goals that we believe, based on considered analysis, will create value and improve our financial performance over the long-term. These decisions, however, may not be consistent with the short-term expectations of our stockholders and may not produce the long-term benefits that we expect, in which case our business, financial condition and results of operations could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Potential disputes over intellectual property rights that we have licensed may prevent or impair our ability to maintain our current licensing arrangements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Licensing of intellectual property rights is of high importance to our business and involves complex legal, business and scientific issues. Disputes may arise between us and our licensors regarding intellectual property rights subject to a license agreement, including: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financial or other obligations under the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on intellectual property rights of the licensor that are not subject to the licensing agreement;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intellectual property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current product candidate, and what activities satisfy those diligence obligations;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our licensors, us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our current and future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maintain patent protection for our product candidates, or if the scope of the patent protection obtained is not sufficiently broad, we may not be able to compete effectively in our markets. </w:t>
      </w:r>
    </w:p>
    <w:p>
      <w:pPr>
        <w:pStyle w:val="TextBody"/>
        <w:bidi w:val="0"/>
        <w:spacing w:before="120" w:after="0"/>
        <w:jc w:val="left"/>
        <w:rPr>
          <w:rFonts w:ascii="Times New Roman" w:hAnsi="Times New Roman"/>
          <w:sz w:val="20"/>
        </w:rPr>
      </w:pPr>
      <w:r>
        <w:rPr>
          <w:rFonts w:ascii="Times New Roman" w:hAnsi="Times New Roman"/>
          <w:sz w:val="20"/>
        </w:rPr>
        <w:t xml:space="preserve">We rely upon a combination of patents, trademarks, trade secret protection, and confidentiality agreements to protect the intellectual property related to our current and future product candidates. Our success depends in part on our ability to obtain and maintain patent protection in the United States and other countries with respect to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Patent and Trademark Office (“PTO”)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may not result in any patents being issued;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patents may be challenged, invalidated, modified, revoked, circumvented, found to be unenforceable or otherwise may not provide any competitive advantage;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countries other than the United States may have patent laws less favorable to patentees than those upheld by U.S. courts, allowing foreign competitors a better opportunity to create, develop and market competing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successful intellectual property challenge to any patents owned by or licensed to us could deprive us of rights necessary for the practice of our technologies or the successful commercialization of any product candidates that we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interference proceeding can be provoked by a third party or instituted by the PTO to determine who was the first to invent any of the subject matter covered by the patent claims of our applications for any application with an effective filing date before March 16, 2013.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If the patent applications we hold or in-license with respect to our development programs and product candidates fail to issue, if their breadth or strength of protection is threatened, or if they fail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meaningful exclusivity for our product candidates, it could dissuade other companies from collaborating with us to develop product candidates, and threaten our ability to commercialize our product candidates. Any such outcome could have a materially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product components and processes and brands for our development pipeline through acquisitions and in-licenses. </w:t>
      </w:r>
    </w:p>
    <w:p>
      <w:pPr>
        <w:pStyle w:val="TextBody"/>
        <w:bidi w:val="0"/>
        <w:spacing w:before="120" w:after="0"/>
        <w:jc w:val="left"/>
        <w:rPr>
          <w:rFonts w:ascii="Times New Roman" w:hAnsi="Times New Roman"/>
          <w:sz w:val="20"/>
        </w:rPr>
      </w:pPr>
      <w:r>
        <w:rPr>
          <w:rFonts w:ascii="Times New Roman" w:hAnsi="Times New Roman"/>
          <w:sz w:val="20"/>
        </w:rPr>
        <w:t xml:space="preserve">Our current and future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issue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 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their proprietary rights to other parties, potentially blocking our ability to pursue our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companies that perceive us to be a competitor may be unwilling to assign or license rights to us, either on reasonable terms, or at all. We also may be unable to license or acquire third-party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on terms that would allow us to make an appropriate return on our investment, or at all. If we are unable to successfully obtain rights to required third-party intellectual property rights on commercially reasonable terms, our ability to commercialize our product candidates, if approved, and our business, financial condition and results of operations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claims challenging the inventorship or ownership of our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claims that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that we infringe, misappropriate, or violate the intellectual property rights of third parties may give rise to costly and lengthy litigation, and we could be prevented from selling product candidates, if approved, forced to pay damages, and defend against litigation. </w:t>
      </w:r>
    </w:p>
    <w:p>
      <w:pPr>
        <w:pStyle w:val="TextBody"/>
        <w:bidi w:val="0"/>
        <w:spacing w:before="120" w:after="0"/>
        <w:jc w:val="left"/>
        <w:rPr>
          <w:rFonts w:ascii="Times New Roman" w:hAnsi="Times New Roman"/>
          <w:sz w:val="20"/>
        </w:rPr>
      </w:pPr>
      <w:r>
        <w:rPr>
          <w:rFonts w:ascii="Times New Roman" w:hAnsi="Times New Roman"/>
          <w:sz w:val="20"/>
        </w:rPr>
        <w:t xml:space="preserve">Third parties may assert patent or other intellectual property infringement or misappropriation claims against us or our strategic partners, licensors or licensees with respect to our product candidates. If any of our current or future product candidates, methods, processes and other technologies are alleged to infringe on or be improperly based on the proprietary rights of other parties, we could face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or are infringed by one of our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current or future product candidates. Defense of these claims, regardless of their merit, could involve substantial expenses and could be a substantial diversion of our valuable management and employee resources from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 in costly litigation;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divert the time and attention of our technical personnel and management;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cause development delays;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prevent us from commercializing our product candidates until the asserted patent expires or is held finally invalid or not infringed in a court of law;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develop non-infringing technology, which may not be possible on a cost-effective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pay damages to the party whose intellectual property rights we may be found to be infringing, which may include treble damages if we are found to have been willfully infringing such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pay the attorney’s fees and costs of litigation to the party whose intellectual property rights we may be found to be infringing; and/or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enter into royalty or licensing agreements, which may not be available on commercially reasonable terms,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sued for patent infringement, we would need to demonstrate that our product candidates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others have not filed patent applications for technology covered by our pending applications, or that we were the first to invent the technology, because: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patent applications in the United States may be maintained in secrecy until the patents are issued;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in the United States and elsewhere can be pending for many years before issuance, or unintentionally abandoned patents or applications can be revived;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pending patent applications that have been published can, subject to certain limitations, be later amended in a manner that could cover our technologies, our product candidates or the use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third-party patent rights that may be relevant to our technology is difficult because patent searching is imperfect due to differences in terminology among patents, incomplete databases and the difficulty in assessing the meaning of patent claims;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in the United States are typically not published until 18 months after the priority date;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publications in the scientific literature often lag behind actual discoveries.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if approved.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we were to prevail, any litigation or administrative proceeding could be costly and time-consuming and would divert the attention of our management and key personnel from our business operations. Furthermore, 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to protect or enforce our patents or other intellectual property,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intellectual property rights are invalidated or circumvented, our business, financial condition and results of operations will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Intellectual property protection varies throughout the world and is subject to change over time. In the United States, for small molecule drug products the Hatch-Waxman Act provides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and our business, financial condition and results of operations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have registered trademarks with the PTO for the marks “SEMNUR PHARMACEUTICALS” and “SEMDEXA” in the United States. Our trademarks or trade names may be challenged, infringed, diluted, tarnished, circumvented or declared generic or determined to be infringing on other marks. We may not be 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laws or patent jurisprudence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biotechnology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 </w:t>
      </w:r>
    </w:p>
    <w:p>
      <w:pPr>
        <w:pStyle w:val="TextBody"/>
        <w:bidi w:val="0"/>
        <w:spacing w:before="240" w:after="0"/>
        <w:jc w:val="left"/>
        <w:rPr>
          <w:rFonts w:ascii="Times New Roman" w:hAnsi="Times New Roman"/>
          <w:sz w:val="20"/>
        </w:rPr>
      </w:pPr>
      <w:r>
        <w:rPr>
          <w:rFonts w:ascii="Times New Roman" w:hAnsi="Times New Roman"/>
          <w:sz w:val="20"/>
        </w:rPr>
        <w:t xml:space="preserve">Among some of the other changes introduced by the AIA are changes that limit where a patentee may file a patent infringement suit and providing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a third party may attempt to use the 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 </w:t>
      </w:r>
    </w:p>
    <w:p>
      <w:pPr>
        <w:pStyle w:val="TextBody"/>
        <w:bidi w:val="0"/>
        <w:spacing w:before="240" w:after="0"/>
        <w:jc w:val="left"/>
        <w:rPr>
          <w:rFonts w:ascii="Times New Roman" w:hAnsi="Times New Roman"/>
          <w:sz w:val="20"/>
        </w:rPr>
      </w:pPr>
      <w:r>
        <w:rPr>
          <w:rFonts w:ascii="Times New Roman" w:hAnsi="Times New Roman"/>
          <w:sz w:val="20"/>
        </w:rPr>
        <w:t xml:space="preserve">We may become involved in opposition, interference, derivation, inter partes review, post-grant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product candidates and compete directly with us, without payment to us, or result in our inability to manufacture or commercialize products without infringing third-party patent rights.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Supreme Court has ruled on several patent cases in recent years either narrowing the scope of patent protection available in certain circumstances or weakening the rights of patent owners in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 In addition, the European patent system is relatively stringent in the type of amendments that are allowed during prosecution, but the complexity and uncertainty of European patent laws has also increased in recent years.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Complying with these laws and regulations could limit our ability to obtain new patents in the future that may be important for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our product candidates, our competitors may be able to enter the market, which would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Confidentiality agreements with employees may not adequately prevent disclosure of our trade secrets and other proprietary information and may not adequately protect our intellectual property, which could limit our ability to compete. </w:t>
      </w:r>
    </w:p>
    <w:p>
      <w:pPr>
        <w:pStyle w:val="TextBody"/>
        <w:bidi w:val="0"/>
        <w:spacing w:before="120" w:after="0"/>
        <w:jc w:val="left"/>
        <w:rPr>
          <w:rFonts w:ascii="Times New Roman" w:hAnsi="Times New Roman"/>
          <w:sz w:val="20"/>
        </w:rPr>
      </w:pPr>
      <w:r>
        <w:rPr>
          <w:rFonts w:ascii="Times New Roman" w:hAnsi="Times New Roman"/>
          <w:sz w:val="20"/>
        </w:rPr>
        <w:t xml:space="preserve">To help protect our proprietary know-how and our inventions for which patents may be unobtainable or difficult to obtain, or prior to seeking patent protection, we rely on trade secret protection and confidentiality agreements. To this end, we intend to require all our future employees to enter into agreements that prohibit the disclosure of confidential information and, where applicable, require disclosure and assignment to us of the ideas,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 </w:t>
      </w:r>
    </w:p>
    <w:p>
      <w:pPr>
        <w:pStyle w:val="TextBody"/>
        <w:bidi w:val="0"/>
        <w:spacing w:before="240" w:after="0"/>
        <w:jc w:val="left"/>
        <w:rPr>
          <w:rFonts w:ascii="Times New Roman" w:hAnsi="Times New Roman"/>
          <w:sz w:val="20"/>
        </w:rPr>
      </w:pPr>
      <w:r>
        <w:rPr>
          <w:rFonts w:ascii="Times New Roman" w:hAnsi="Times New Roman"/>
          <w:sz w:val="20"/>
        </w:rPr>
        <w:t xml:space="preserve">However, our future employees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a claim that a third party obtained illegally, and is using, trade secrets and/or confidential know-how is expensive, time-consuming and unpredictable, and the enforceability of confidentiality agreements may vary from jurisdiction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If any of our trade secrets, know-how or other proprietary information is disclosed, the value of our trade secrets, know-how and other proprietary rights would be significantly impaired and our business and competitive 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asserting that our employees, consultants or advisors have wrongfully used or disclosed alleged trade secrets of their current or former employers or claims asserting ownership of what we regard as our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may hire employees, consultants or advisors who are currently, or were previously, employed at universities or other biotechnology or pharmaceutical companies, including our competitors or potential competitors, as well as our academic partners. Although we will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our product candidates, if approved. Moreover, any such litigation or the threat of such litigation may adversely affect our ability to hire employees or contract with independent contractors. A loss of key personnel or their work product could hamper or prevent our ability to commercialize our product candidates, if approved. Even if we are successful in defending against such claims, litigation could result in substantial costs and be a distraction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future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position as a relatively small company may cause us to be at a significant disadvantage in defending our intellectual property rights and in defending against infringement claims by third parties. </w:t>
      </w:r>
    </w:p>
    <w:p>
      <w:pPr>
        <w:pStyle w:val="TextBody"/>
        <w:bidi w:val="0"/>
        <w:spacing w:before="120" w:after="0"/>
        <w:jc w:val="left"/>
        <w:rPr>
          <w:rFonts w:ascii="Times New Roman" w:hAnsi="Times New Roman"/>
          <w:sz w:val="20"/>
        </w:rPr>
      </w:pPr>
      <w:r>
        <w:rPr>
          <w:rFonts w:ascii="Times New Roman" w:hAnsi="Times New Roman"/>
          <w:sz w:val="20"/>
        </w:rPr>
        <w:t xml:space="preserve">Litigation relating to the ownership and use of intellectual property is expensive, and our position as a relatively small company in an industry dominated by very large companies may cause us to be at a significant disadvantage in defending our intellectual property rights and in defending against claims that any of our current or future product candidates infringes or misappropriates third-party intellectual property rights. However, we may seek to use various post-grant administrative proceedings, including procedures created under the AIA, to invalidate potentially overly-broad third-party rights. Even if we can defend 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our drug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There is a substantial amount of litigation involving patent and other intellectual property rights in the biotechnology and pharmaceutical industries, including PTO administrative proceedings, such as </w:t>
      </w:r>
      <w:r>
        <w:rPr>
          <w:rFonts w:ascii="Times New Roman" w:hAnsi="Times New Roman"/>
          <w:i/>
          <w:sz w:val="20"/>
        </w:rPr>
        <w:t>inter partes</w:t>
      </w:r>
      <w:r>
        <w:rPr>
          <w:rFonts w:ascii="Times New Roman" w:hAnsi="Times New Roman"/>
          <w:sz w:val="20"/>
        </w:rPr>
        <w:t xml:space="preserve"> 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our current and future product candidates. As the biotechnology and pharmaceutical industries expand and more patents are issued, the risk increases that our current and future product candidates may give rise to claims of infringement of the patent rights of others. </w:t>
      </w:r>
    </w:p>
    <w:p>
      <w:pPr>
        <w:pStyle w:val="TextBody"/>
        <w:bidi w:val="0"/>
        <w:spacing w:before="240" w:after="0"/>
        <w:jc w:val="left"/>
        <w:rPr>
          <w:rFonts w:ascii="Times New Roman" w:hAnsi="Times New Roman"/>
          <w:sz w:val="20"/>
        </w:rPr>
      </w:pPr>
      <w:r>
        <w:rPr>
          <w:rFonts w:ascii="Times New Roman" w:hAnsi="Times New Roman"/>
          <w:sz w:val="20"/>
        </w:rPr>
        <w:t xml:space="preserve">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our current and future product candidates. Because patent applications can take many years to issue, there may be currently pending unpublished patent applications which may later result in issued patents that our current and future product candidates may infringe. In addition, third parties may obtain patents in the future and claim that the use of our technologies infringes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us may obtain injunctive or other equitable relief, which could effectively block our ability to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claim of infringement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us, we may have to pay substantial damages, including treble damages and attorneys’ fees for willful infringement, obtain one or more licenses from third parties, or developing our current and future product candidates, limit our uses, pay royalties or redesign our infringing current and future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if approved. We may fail to obtain any of these licenses at a reasonable cost or on reasonable terms, if at all. In that event, we would be unable to develop and commercialize one or more of our current and future product candidates, which could harm our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we have wrongfully hired an employee from a competitor or that we or our employees have wrongfully used or disclosed alleged confidential information or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in addition to our future employees, we may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The requirements for patentability and the patent enforcement differ in many countries. Filing, prosecuting and defending patents on all of our current and future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our current and future product candidates, if approved, in jurisdictions where we do not have any issued patents and our patent claims or other intellectual property rights may not be effective or sufficient to prevent them from so competing. </w:t>
      </w:r>
    </w:p>
    <w:p>
      <w:pPr>
        <w:pStyle w:val="TextBody"/>
        <w:bidi w:val="0"/>
        <w:spacing w:before="240" w:after="0"/>
        <w:jc w:val="left"/>
        <w:rPr>
          <w:rFonts w:ascii="Times New Roman" w:hAnsi="Times New Roman"/>
          <w:sz w:val="20"/>
        </w:rPr>
      </w:pPr>
      <w:r>
        <w:rPr>
          <w:rFonts w:ascii="Times New Roman" w:hAnsi="Times New Roman"/>
          <w:sz w:val="20"/>
        </w:rPr>
        <w:t xml:space="preserve">The ongoing conflict in Ukraine and related sanctions could significantly devalue our Ukrainian and Russian patent applications. Russian decrees may significantly limit our ability to enforce Russian patents. We cannot predict when or how this situation will change.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certain foreign jurisdictions. The legal systems of certain countries, particularly in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could put our patents at risk of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obtain patent term extension and data exclusivity for any of our product candidates we are developing or may develop, our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conditions of any FDA marketing approval of our current and future product candidates,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a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rely on trade secrets to protect our proprietary technologies, especially where we do not believe patent protection is appropriate or obtainable. However, trade secrets are difficult to protect. Scilex relies in part on confidentiality agreements with its employees, consultants, outside scientific collaborators, sponsored researchers and other advisors, and inventions agreements with employees, consultants and advisors, to protect its trade secrets and other proprietary information. We plan to rely on the same arrangement. In addition to contractual measures, we will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future, if at all.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reliance on third parties may require us to share our trade secrets, which increases the possibility that our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we rely on third parties to help manufacture and supply SP-102,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these agreements typically restrict the ability of our advisors, third-party contractors and consultants to publish data potentially relating to our trade secrets, although our agreements may contain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and regulatory exclusivity rights do not necessarily address all potential threats to our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our product candidates but that are not covered by the claims of the patents that we own or have exclusively licensed;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or strategic partners might not have been the first to make the inventions covered by the issued patent or pending patent application that we own or have exclusively licensed;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or strategic partners might not have been the first to file patent applications covering certain of our inventions;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pending patent applications may not lead to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we own or have exclusively licensed may not provide us with any competitive advantage, or may be held invalid or unenforceable, as a result of legal challenges by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that are patentable;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significantly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biotechnology and pharmaceutical companies generally is highly uncertain, involves complex legal and factual questions, and has been and will continue to be the subject of litigation and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products. </w:t>
      </w:r>
    </w:p>
    <w:p>
      <w:pPr>
        <w:pStyle w:val="TextBody"/>
        <w:bidi w:val="0"/>
        <w:spacing w:before="240" w:after="0"/>
        <w:jc w:val="left"/>
        <w:rPr>
          <w:rFonts w:ascii="Times New Roman" w:hAnsi="Times New Roman"/>
          <w:sz w:val="20"/>
        </w:rPr>
      </w:pPr>
      <w:r>
        <w:rPr>
          <w:rFonts w:ascii="Times New Roman" w:hAnsi="Times New Roman"/>
          <w:sz w:val="20"/>
        </w:rPr>
        <w:t xml:space="preserve">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 Pa 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240" w:after="0"/>
        <w:jc w:val="left"/>
        <w:rPr>
          <w:rFonts w:ascii="Times New Roman" w:hAnsi="Times New Roman"/>
          <w:sz w:val="20"/>
        </w:rPr>
      </w:pPr>
      <w:r>
        <w:rPr>
          <w:rFonts w:ascii="Times New Roman" w:hAnsi="Times New Roman"/>
          <w:sz w:val="20"/>
        </w:rPr>
        <w:t xml:space="preserve">Moreover, we may be subject to a third-party pre-issuance submission of prior art to the PTO or become involved in opposition, derivation, reexamination, </w:t>
      </w:r>
      <w:r>
        <w:rPr>
          <w:rFonts w:ascii="Times New Roman" w:hAnsi="Times New Roman"/>
          <w:i/>
          <w:sz w:val="20"/>
        </w:rPr>
        <w:t>inter partes</w:t>
      </w:r>
      <w:r>
        <w:rPr>
          <w:rFonts w:ascii="Times New Roman" w:hAnsi="Times New Roman"/>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Government Regulations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 </w:t>
      </w:r>
    </w:p>
    <w:p>
      <w:pPr>
        <w:pStyle w:val="TextBody"/>
        <w:bidi w:val="0"/>
        <w:spacing w:before="120" w:after="0"/>
        <w:jc w:val="left"/>
        <w:rPr>
          <w:rFonts w:ascii="Times New Roman" w:hAnsi="Times New Roman"/>
          <w:sz w:val="20"/>
        </w:rPr>
      </w:pPr>
      <w:r>
        <w:rPr>
          <w:rFonts w:ascii="Times New Roman" w:hAnsi="Times New Roman"/>
          <w:sz w:val="20"/>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following our March 2022 announcement of the final results from our Phase 3 trial for SP-102,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See the section titled “</w:t>
      </w:r>
      <w:r>
        <w:rPr>
          <w:rFonts w:ascii="Times New Roman" w:hAnsi="Times New Roman"/>
          <w:i/>
          <w:sz w:val="20"/>
        </w:rPr>
        <w:t xml:space="preserve">Business of Semnur </w:t>
      </w:r>
      <w:r>
        <w:rPr>
          <w:rFonts w:ascii="Times New Roman" w:hAnsi="Times New Roman"/>
          <w:sz w:val="20"/>
        </w:rPr>
        <w:t xml:space="preserve">— </w:t>
      </w:r>
      <w:r>
        <w:rPr>
          <w:rFonts w:ascii="Times New Roman" w:hAnsi="Times New Roman"/>
          <w:i/>
          <w:sz w:val="20"/>
        </w:rPr>
        <w:t>Our Company</w:t>
      </w:r>
      <w:r>
        <w:rPr>
          <w:rFonts w:ascii="Times New Roman" w:hAnsi="Times New Roman"/>
          <w:sz w:val="20"/>
        </w:rPr>
        <w:t xml:space="preserve">” for additional information regarding the meetings with the FDA. Our future success depends on our ability to develop, receive regulatory approval for, and introduce new products or product enhancements that will be accepted by the market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FDA or comparable non-U.S. regulatory authorities can delay, limit or deny approval of any product candidate for many reasons, including: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disagree with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such authorities’ satisfaction that a product candidate is safe and effective for its proposed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or ambiguous results from our clinical trials may not meet the level of statistical significance required for approval by the FDA;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disagree with our interpretation of data from preclinical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not agree that the data collected from clinical trials of our product candidate are acceptable or sufficient to support the submission of an NDA or other submission or to obtain regulatory approval in the United States, and such authorities may impose requirements for additional preclinical studies or clinical trials;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disagree regarding the formulation, labeling and/or the specifications of our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authorities may decline to approve the manufacturing processes or facilities of third-party manufacturers with which we contract for clinical and commercial supplies;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non-U.S. regulatory authority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 which would significantly harm our business, financial condition and results of operations. In addition, regulatory authorities may approve our product candidate for fewer or more limited indications than we request, may not approve the price we intend to charge for our product candidate, may grant approval contingent on the performance of costly post-marketing clinical trials, or may approve our product candidate with a label that does not include the labeling claims necessary or desirable for the successful commercialization of that product candidate. Any of the foregoing scenarios could materially harm the commercial prospects for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have limited experience submitting applications for marketing authorization to the FDA, and we cannot be certain that any of our product candidates will be successful in clinical trials or receive regulatory approval. Further, our product candidates may not receive regulatory approval even if our clinical trials are successful. With the change in presidential administrations in 2025, there is substantial uncertainty as to how, if at all, the new Trump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 Furthermore,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Moreover,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 our business, financial condition and results of operations will be substantially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FDA does not conclude that our product candidate satisfies the requirements for the Section 505(b)(2) regulatory approval pathway, or if the requirements for our product candidate under Section 505(b)(2) are not as we expect, the approval pathway for our product candidate will likely take significantly longer, cost significantly more and entail significantly greater complications and risks than anticipated, and in either case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For our product candidate SP-102, we may seek FDA approval through the Section 505(b)(2) regulatory pathway. The Hatch-Waxman Act added Section 505(b)(2) to the Federal Food, Drug and Cosmetic Act (the “FDCA”). Section 505(b)(2) permits the filing of an NDA where at least some of the information required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comes from trials that were not conducted by or for the applicant and for which the applicant has not obtained a right of reference. Section 505(b)(2) allows an NDA we submit to the FDA to rely in part on data in the public domain or the FDA’s prior conclusions regarding the safety and effectiveness of approved compounds, which could expedite the development program for our product candidate by potentially decreasing the amount of data that we would need to generate in order to obtain FDA approval. If the FDA does not agree that the Section 505(b)(2) regulatory pathway is acceptable as we anticipated, we may need to conduct additional clinical trials, provide additional data and information and meet additional standards for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Even if the FDA accepts our plan to pursue the Section 505(b)(2) regulatory pathway, we cannot assure that our product candidate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for up to 30 months or longer depending on the outcome of any litigation. Further, a manufacturer of an approved product may file a citizen petition with the FDA seeking to delay approval of, or impose additional approval requirements for, pending competing products. </w:t>
      </w:r>
    </w:p>
    <w:p>
      <w:pPr>
        <w:pStyle w:val="TextBody"/>
        <w:bidi w:val="0"/>
        <w:spacing w:before="240" w:after="0"/>
        <w:jc w:val="left"/>
        <w:rPr>
          <w:rFonts w:ascii="Times New Roman" w:hAnsi="Times New Roman"/>
          <w:sz w:val="20"/>
        </w:rPr>
      </w:pPr>
      <w:r>
        <w:rPr>
          <w:rFonts w:ascii="Times New Roman" w:hAnsi="Times New Roman"/>
          <w:sz w:val="20"/>
        </w:rPr>
        <w:t xml:space="preserve">The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approved product candidate will be subject to ongoing and continued regulatory requirements, which may result in significant expense and limit our ability to commercialize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w:t>
      </w:r>
    </w:p>
    <w:p>
      <w:pPr>
        <w:pStyle w:val="TextBody"/>
        <w:bidi w:val="0"/>
        <w:spacing w:before="240" w:after="0"/>
        <w:jc w:val="left"/>
        <w:rPr>
          <w:rFonts w:ascii="Times New Roman" w:hAnsi="Times New Roman"/>
          <w:sz w:val="20"/>
        </w:rPr>
      </w:pPr>
      <w:r>
        <w:rPr>
          <w:rFonts w:ascii="Times New Roman" w:hAnsi="Times New Roman"/>
          <w:sz w:val="20"/>
        </w:rPr>
        <w:t xml:space="preserve">Other requirements include submissions of safety and other post-marketing information and reports, registration and listing, product tracking and tracing, as well as continued compliance with cGMPs and GCPs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investigation or additional study obligations;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communications to prescribers or patients about specific information or issues;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or untitled letters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revocation of product license approvals;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event or penalty described above may inhibit our ability to successfully commercialize our product candidate and generate revenue and could require us to expend significant time and resources in response and could generate negative publicity. We may not be able to regain compliance, or we may only be able to regain compliance after a lengthy delay, significant expense, lost revenues and damage to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laws or government regulations may be enacted that could prevent, limit or delay regulatory approval of our product candidate.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 </w:t>
      </w:r>
    </w:p>
    <w:p>
      <w:pPr>
        <w:pStyle w:val="TextBody"/>
        <w:bidi w:val="0"/>
        <w:spacing w:before="240" w:after="0"/>
        <w:jc w:val="left"/>
        <w:rPr>
          <w:rFonts w:ascii="Times New Roman" w:hAnsi="Times New Roman"/>
          <w:sz w:val="20"/>
        </w:rPr>
      </w:pPr>
      <w:r>
        <w:rPr>
          <w:rFonts w:ascii="Times New Roman" w:hAnsi="Times New Roman"/>
          <w:sz w:val="20"/>
        </w:rPr>
        <w:t xml:space="preserve">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financial condition and results of operations may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other agency regulations, policies, and decisions may become subject to increasing legal challenges, delays and changes.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fast track product designation or other designation to facilitate product candidate development may not lead to faster development or regulatory review or approval process, and it does not increase the likelihood that SP-102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 </w:t>
      </w:r>
    </w:p>
    <w:p>
      <w:pPr>
        <w:pStyle w:val="TextBody"/>
        <w:bidi w:val="0"/>
        <w:spacing w:before="240" w:after="0"/>
        <w:jc w:val="left"/>
        <w:rPr>
          <w:rFonts w:ascii="Times New Roman" w:hAnsi="Times New Roman"/>
          <w:sz w:val="20"/>
        </w:rPr>
      </w:pPr>
      <w:r>
        <w:rPr>
          <w:rFonts w:ascii="Times New Roman" w:hAnsi="Times New Roman"/>
          <w:sz w:val="20"/>
        </w:rPr>
        <w:t xml:space="preserve">We have received fast track designation for SP-102 for the treatment of sciatica. Even though SP-102 has received fast track designation, we may not experience a faster process, review or approval compared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 FDA as they become finalized. The FDA may rescind the fast track designation if it believes that the designation is no longer supported by data from our clinical development program. The FDA may also withdraw any fast track designation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funding for the FDA, including as a result of a government shutdown, could hinder its ability to hire and retain key leadership and other personnel, or otherwise prevent new products and services from being developed or commercialized in a timely manner, which could negatively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and conduct other regulatory activities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35 days beginning on December 22, 2018, and most recently for 43 days beginning on October 1, 2025, the U.S. government has shut down several times and certain regulatory agencies, such as the FDA, have had to furlough critical employees and stop critical activities. Separately, in response to the COVID-19 pandemic, the FDA temporarily postponed routine surveillance inspections of manufacturing facilities in 2020. Additionally, starting in January 2025, the new Trump administration recently announced plans to reduce the number of federal employees by establishing voluntary termination programs, by position eliminations or by involuntary terminations. If a prolonged government shutdown occurs, if funding for the FDA or other federal agencies (including their workforce) is reduced or if future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 and data protection laws and regulations could lead to government enforcement actions and civil or criminal penalties, private litigation or adverse publicity and could negatively affect our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Federal Trade Commission Act (the “FTC Act”), each of which govern the collection, use, disclosure and protection of health-related and other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are not subject to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U.S. state laws and regulations relating to data privacy and security and consumer protection are constantly evolving. For example, the California Consumer Privacy Act and its implementing regulations (the “CCPA”), which went into effect on January 1, 2020, created new individual privacy rights for California consumers and placed increased privacy and security obligations on entities handling personal data of consumers or households. The CCPA has been amended by the California Privacy Rights Act (“CPRA”), which largely took effect on January 1, 2023. The CPRA also created a new state agency, the CPPA, vested with authority to implement and, along with the California Attorney General, enforce the CCPA. Further, Washington’s My Health My Data Act, taking effect July 1, 2024, imposes requirements specific to consumer health data. Several other states have enacted or are considering similar state consumer privacy laws.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to so comply. Privacy laws and regulations are constantly evolving and there are a number of legislative proposals at both the state and federal levels that could impose new obligations or limitations in areas affecting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w:t>
      </w:r>
    </w:p>
    <w:p>
      <w:pPr>
        <w:pStyle w:val="TextBody"/>
        <w:bidi w:val="0"/>
        <w:spacing w:before="240" w:after="0"/>
        <w:jc w:val="left"/>
        <w:rPr>
          <w:rFonts w:ascii="Times New Roman" w:hAnsi="Times New Roman"/>
          <w:sz w:val="20"/>
        </w:rPr>
      </w:pPr>
      <w:r>
        <w:rPr>
          <w:rFonts w:ascii="Times New Roman" w:hAnsi="Times New Roman"/>
          <w:sz w:val="20"/>
        </w:rPr>
        <w:t xml:space="preserve">International data protection laws, including the EU’s and UK’s General Data Protection Regulation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international data protection laws and regulations could require us to take on more onerous 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 against and could result in adverse publicity that could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impacted by actions of the new Trump administration, including executive orders, policies, new legislation and judicial decisions. </w:t>
      </w:r>
    </w:p>
    <w:p>
      <w:pPr>
        <w:pStyle w:val="TextBody"/>
        <w:bidi w:val="0"/>
        <w:spacing w:before="120" w:after="0"/>
        <w:jc w:val="left"/>
        <w:rPr>
          <w:rFonts w:ascii="Times New Roman" w:hAnsi="Times New Roman"/>
          <w:sz w:val="20"/>
        </w:rPr>
      </w:pPr>
      <w:r>
        <w:rPr>
          <w:rFonts w:ascii="Times New Roman" w:hAnsi="Times New Roman"/>
          <w:sz w:val="20"/>
        </w:rPr>
        <w:t xml:space="preserve">The impact of the new Trump administration is currently unknown. However, actions of the administration may cause us to change our business operations, with an unknown impact to our stakeholders, including patients, healthcare providers and employees. Failure to comply with new Trump administration actions could expose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litigation or other government actions. There can be no assurance that our compliance with new Trump administration actions will provide sufficient mitigation.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involves the use of hazardous materials and we and third parties with whom we contract must comply with environmental laws and regulations, which can be expensive and restrict how we do business. </w:t>
      </w:r>
    </w:p>
    <w:p>
      <w:pPr>
        <w:pStyle w:val="TextBody"/>
        <w:bidi w:val="0"/>
        <w:spacing w:before="120" w:after="0"/>
        <w:jc w:val="left"/>
        <w:rPr>
          <w:rFonts w:ascii="Times New Roman" w:hAnsi="Times New Roman"/>
          <w:sz w:val="20"/>
        </w:rPr>
      </w:pPr>
      <w:r>
        <w:rPr>
          <w:rFonts w:ascii="Times New Roman" w:hAnsi="Times New Roman"/>
          <w:sz w:val="20"/>
        </w:rPr>
        <w:t xml:space="preserve">Our research and development activities involve the controlled storage, use and disposal of hazardous materials, including the components of our current or future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illegal activity or other misconduct by our employees, independent contractors, consultants, commercial partners and vendors. Misconduct by employees could include intentional, 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or contracting,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FDA debarment, exclusion from government-funded healthcare programs or other actions or lawsuits stemming from a failure to be in compliance with such laws or regulations. If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and serious harm to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directly or indirectly, to federal and state healthcare fraud and abuse laws, false claims laws, transparency and disclosure, or sunshine, laws, government price reporting, and health information privacy and security laws. If we are unable to comply, or have not fully complied, with such laws, we could face substantial penalties. </w:t>
      </w:r>
    </w:p>
    <w:p>
      <w:pPr>
        <w:pStyle w:val="TextBody"/>
        <w:bidi w:val="0"/>
        <w:spacing w:before="120" w:after="0"/>
        <w:jc w:val="left"/>
        <w:rPr>
          <w:rFonts w:ascii="Times New Roman" w:hAnsi="Times New Roman"/>
          <w:sz w:val="20"/>
        </w:rPr>
      </w:pPr>
      <w:r>
        <w:rPr>
          <w:rFonts w:ascii="Times New Roman" w:hAnsi="Times New Roman"/>
          <w:sz w:val="20"/>
        </w:rPr>
        <w:t xml:space="preserve">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or advocacy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Medicaid programs — a person or entity does not need to have actual knowledge of the federal Anti-Kickback Statute or special intent to violate the statute in order to have committed a violation; in addition, the government may assert that a claim including items or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Average Manufacturer Price (“AMP”), and improper promotion of off-label uses (i.e., uses not expressly approved by the FDA in a drug’s label);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FDCA, which prohibits, among other things, the adulteration or misbranding of drugs, biologics and medical devices; federal government price reporting laws, which require drug manufacturers to calculate and report complex pricing metrics to government agencies, including CMS and the Department of Veterans Affairs (“VA”), referred to as Government Program Statutory Price Reporting, where such reported prices are used in the calculation of reimbursement and/or discounts on marketed products paid by government healthcare programs. Participation in these programs and compliance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Additionally, if it is determined by the government, which could include a government agency such as CMS, Health Resources and Services Administration, the VA, or by the Office of Inspector General or Department of Justice, that the Statutory Price Reporting was incorrect, causing the government to essentially pay more than they should through the reimbursement and/or discount, the manufacturer may be subject to significant False Claims Act investigations, civil monetary penalties and/or additional fines;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Prescription Drug Marketing Act, which restricts the manner in which manufacturers may disseminate complimentary drug samples to healthcare practitioners, requires physical and accounting controls, and establishes penalties for improper sample distribution;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w:t>
      </w:r>
    </w:p>
    <w:p>
      <w:pPr>
        <w:pStyle w:val="TextBody"/>
        <w:bidi w:val="0"/>
        <w:spacing w:before="120" w:after="0"/>
        <w:jc w:val="left"/>
        <w:rPr>
          <w:rFonts w:ascii="Times New Roman" w:hAnsi="Times New Roman"/>
          <w:sz w:val="20"/>
        </w:rPr>
      </w:pPr>
      <w:r>
        <w:rPr>
          <w:rFonts w:ascii="Times New Roman" w:hAnsi="Times New Roman"/>
          <w:sz w:val="20"/>
        </w:rPr>
        <w:t xml:space="preserve">If we are found to have improperly promoted off-label uses of our current or future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Physicians may use our product candidates if they receive marketing approval, for their patients in a manner that is inconsistent with the approved labels, if the physicians believe in their professional medical judgment they could be used in such manner. However, if we are found to have promoted any of our future products for any off-label uses, the federal government could levy civil, criminal and/or administrative penalties, and seek fines against us. The FDA, Department of Justice or other regulatory authorities could also request that we enter into a consent decree, a corporate integrity agreement or corporate mentorship,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measures could hinder or prevent our product candidate’s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There have been, and we expect there will continue to be, a number of legislative and regulatory changes to health care systems in the United States and abroad that could impact our ability to sell our products profitably. The United States government and other governments have shown significant interest in pursuing healthcare reform. For example, in March 2010, the Patient Protection and Affordable Care Act, as amended by the Health Care and Education Reconciliation Act of 2020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 implemented by the new Trump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in the United States since the ACA was enacted. 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may require authorization through additional legislation to become effective, Congress and recent presidential administrations have each indicated an intent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our product candidate, if approved, or additional pricing pressures.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our product candidate, if approved, or put pressure on our product pricing.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we may lose any regulatory approvals that may have been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obtain prior FDA authorization for any proposed product brand names, and any failure or delay associated with such approval may adversely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Any brand names we intend to use for our current and future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conduct clinical trials for current or future product candidates outside the U.S., and the FDA and comparable foreign regulatory authorities may not accept data from such trials. </w:t>
      </w:r>
    </w:p>
    <w:p>
      <w:pPr>
        <w:pStyle w:val="TextBody"/>
        <w:bidi w:val="0"/>
        <w:spacing w:before="120" w:after="0"/>
        <w:jc w:val="left"/>
        <w:rPr>
          <w:rFonts w:ascii="Times New Roman" w:hAnsi="Times New Roman"/>
          <w:sz w:val="20"/>
        </w:rPr>
      </w:pPr>
      <w:r>
        <w:rPr>
          <w:rFonts w:ascii="Times New Roman" w:hAnsi="Times New Roman"/>
          <w:sz w:val="20"/>
        </w:rPr>
        <w:t xml:space="preserve">We expect to conduct clinical trials internationally in the future. The acceptance of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Relationship with Scilex </w:t>
      </w:r>
    </w:p>
    <w:p>
      <w:pPr>
        <w:pStyle w:val="TextBody"/>
        <w:bidi w:val="0"/>
        <w:spacing w:before="120" w:after="0"/>
        <w:jc w:val="left"/>
        <w:rPr>
          <w:rFonts w:ascii="Times New Roman" w:hAnsi="Times New Roman"/>
          <w:sz w:val="20"/>
        </w:rPr>
      </w:pPr>
      <w:r>
        <w:rPr>
          <w:rFonts w:ascii="Times New Roman" w:hAnsi="Times New Roman"/>
          <w:b/>
          <w:i/>
          <w:sz w:val="20"/>
        </w:rPr>
        <w:t>Certain of our directors and officers may have actual or potential conflicts of interest because of their positions with Scilex.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Mr. Shah, Dr. Ji, Dr. Chun, Mr. Followwill, Ms. Navani and Dr. Wu serve on the Board. Dr. Ji, is also one of our executive officers, continues to serve as a member of the board of directors of Scilex and as Scilex’s Chairperson, Chief Executive Officer and President. Mr. Ma, our Chief Financial Officer, continues to serve as Chief Financial Officer, Senior Vice President, Secretary and director of Scilex.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 as an overlapping director or officer of Scilex and us could create, or appear to create, conflicts of interest with respect to matters involving or affecting more than one of the companies to which such directors or officers owe fiduciary duties. For example, these matters could relate to potential acquisitions of businesses or products, the development and ownership of technologies and product candidates, the sale of products, markets and other matters in which our best interest and the best interests of our stockholders may conflict with the best interests of Scilex and its stockholders. In particular, it is possible that we may be precluded from participating in certain business opportunities that we might otherwise have participated in as those opportunities may be presented to Scilex because such directors may deem such opportunities to have a greater benefit to Scilex than to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such directors and officers may own shares of Scilex common stock, options to purchase shares of Scilex common stock or other Scilex equity awards. These individuals’ holdings of Scilex common stock, options to purchase shares of Scilex common stock or other equity awards of Scilex may be significant for some of these persons compared to these persons’ total assets. Their position at Scilex and the ownership of any Scilex equity or equity awards creates, or may create the appearance of, conflicts of interest when these directors and officers are faced with decisions that could have different implications for Scilex than the decisions have for us. For example, potential conflicts of interest could arise in connection with the resolution of any dispute that may arise between Scilex and us regarding the terms of the agreements governing the transition services and the relationship thereafter between the companies. Potential conflicts of interest may also arise if we enter into commercial arrangements with Scilex in the future. As a result of these actual or apparent conflicts, we may be precluded from pursuing certain growth initiatives. </w:t>
      </w:r>
    </w:p>
    <w:p>
      <w:pPr>
        <w:pStyle w:val="TextBody"/>
        <w:bidi w:val="0"/>
        <w:spacing w:before="240" w:after="0"/>
        <w:jc w:val="left"/>
        <w:rPr>
          <w:rFonts w:ascii="Times New Roman" w:hAnsi="Times New Roman"/>
          <w:sz w:val="20"/>
        </w:rPr>
      </w:pPr>
      <w:r>
        <w:rPr>
          <w:rFonts w:ascii="Times New Roman" w:hAnsi="Times New Roman"/>
          <w:sz w:val="20"/>
        </w:rPr>
        <w:t xml:space="preserve">Any potential conflict that qualifies as a “related party transaction” (as defined in Item 404 of Regulation S-K under the Securities Act) is subject to review by our audit committee (the “Audit Committee”) in accordance with our related person transaction policy. There can be no assurance that the terms of any such transactions will be as favorable to us or our stockholders as would be the case where there are no overlapping officers or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Scilex currently performs or supports many of our important corporate functions. Our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We will need to replicate or replace certain functions, systems and infrastructure provided by Scilex to which we no longer have the same access after the Business Combination. We may also need to make investments or hire additional employees to operate without the same access to Scilex’s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Scilex currently performs or supports many important corporate functions for our company. Our financial statements for the fiscal years ended December 31, 2023 and 2022 reflect charges for these services on an allocation basis. As a result, our historical financial statements may not be reflective of conditions that would have existed or what our results of operations would have been had we been a stand-alone public company and no longer a majority owned subsidiary of Scilex. In connection with the closing of the Business Combination, we entered into the Transition Services Agreement with Scilex, pursuant to which we will be able to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The services under the Transition Services Agreement will be provided for a period of three years on a cost plus 10% basis, provided that the service fees will not exceed $2,000,000 per annum until all payments under the Oramed Note have been paid in full in cash, and we will reimburse Scilex for its out of pocket fees, costs or expenses. We expect to incur other costs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ERP system, while our systems are currently being fully supported by Scilex.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that the term of the Transition Services Agreement is sufficient time for us to develop our commercial infrastructure and other business functions, we may not be able to replace these services or enter into appropriate third-party agreements on terms and conditions, including cost, comparable to those that we will receive from Scilex under the Transition Services Agreement. Additionally, after the Transition Services Agreement terminates, we may be unable to sustain the services at the same levels or obtain the same benefits as when we were receiving such services and benefits from Scilex. When we begin to operate these functions separately from Scilex, if we do not have our own adequate systems and business functions in place, or are unable to obtain them from other providers, we may not be able to operate our business effectively or at comparable costs, and our profitability may decline. In addition, we have historically received informal support from Scilex, which may not be addressed in the Transition Services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Chairman and Chief Financial Officer each holds an executive officer position at Scilex and devotes time to both companies, which could cause a diversion of their time and attention from our business and operations, and as a result could have a material adverse effect on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Dr. Ji serves as our Executive Chairman and also serves as the Chairman of the board of directors of Scilex and its Chief Executive Officer and President. Mr. Ma, our Chief Financial Officer, also serves as the Chief Financial Officer of Scilex. The amount of time that each of Dr. Ji and Mr. Ma devotes to us varies day-to-day and week-to-week depending on the then current needs and demands of each company’s business, transactions each company may be evaluating, and other corporate matters. Such diversion of management attention could have a material adverse effect on our business and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controlled by Scilex, whose interests may differ from those of our public shareholders. </w:t>
      </w:r>
    </w:p>
    <w:p>
      <w:pPr>
        <w:pStyle w:val="TextBody"/>
        <w:bidi w:val="0"/>
        <w:spacing w:before="120" w:after="0"/>
        <w:jc w:val="left"/>
        <w:rPr>
          <w:rFonts w:ascii="Times New Roman" w:hAnsi="Times New Roman"/>
          <w:sz w:val="20"/>
        </w:rPr>
      </w:pPr>
      <w:r>
        <w:rPr>
          <w:rFonts w:ascii="Times New Roman" w:hAnsi="Times New Roman"/>
          <w:sz w:val="20"/>
        </w:rPr>
        <w:t xml:space="preserve">Scilex (together with certain of its subsidiaries) controls approximately 82% of the voting power of our company (excluding voting power represented by the Series A Preferred Stock held by Scilex), which means that, based on its percentage voting power controlled, Scilex will control the vote of all matters submitted to a vote of the Semnur stockholders. This control will enable Scilex to control the election of the members of the Board and all other corporate decisions. In particular, for so long as Scilex continues to own a majority of our Common Stock, Scilex will be able to cause or prevent a change of control of Semnur or a change in the composition of our Board and could preclude any unsolicited acquisition of us. </w:t>
      </w:r>
    </w:p>
    <w:p>
      <w:pPr>
        <w:pStyle w:val="TextBody"/>
        <w:bidi w:val="0"/>
        <w:spacing w:before="240" w:after="0"/>
        <w:jc w:val="left"/>
        <w:rPr>
          <w:rFonts w:ascii="Times New Roman" w:hAnsi="Times New Roman"/>
          <w:sz w:val="20"/>
        </w:rPr>
      </w:pPr>
      <w:r>
        <w:rPr>
          <w:rFonts w:ascii="Times New Roman" w:hAnsi="Times New Roman"/>
          <w:sz w:val="20"/>
        </w:rPr>
        <w:t>Pursuant to the Registration Rights Agreement and the Charter, Scilex has certain rights, and the ability to take certain actions, that are not otherwise available to all Semnur stockholders. For example, the Registration Rights Agreement provides Scilex the right, subject to certain conditions, to demand that we file a registration statement or request that their shares of Common Stock be covered by a registration statement that we are otherwise filing. See the section titled “</w:t>
      </w:r>
      <w:r>
        <w:rPr>
          <w:rFonts w:ascii="Times New Roman" w:hAnsi="Times New Roman"/>
          <w:i/>
          <w:sz w:val="20"/>
        </w:rPr>
        <w:t>Description of Semnur Securities — Registration Rights</w:t>
      </w:r>
      <w:r>
        <w:rPr>
          <w:rFonts w:ascii="Times New Roman" w:hAnsi="Times New Roman"/>
          <w:sz w:val="20"/>
        </w:rPr>
        <w:t>” for additional information regarding these rights. In addition, until such time as Scilex first ceases to own greater than 50% of the outstanding voting power of our Common Stock, the Charter effectively provides Scilex with the ability to fill vacancies on the Board, remove directors (with or without cause), call a special meeting of our stockholders, amend the Charter (subject to approval of the Board) and amend the Bylaws. The directors so elected have the authority, subject to the terms of our indebtedness and applicable rules and regulations, to issue additional stock, implement stock repurchase programs, declare dividends and make other decisions. See the section titled “</w:t>
      </w:r>
      <w:r>
        <w:rPr>
          <w:rFonts w:ascii="Times New Roman" w:hAnsi="Times New Roman"/>
          <w:i/>
          <w:sz w:val="20"/>
        </w:rPr>
        <w:t>Description of Securities — Delaware Anti-Takeover Law</w:t>
      </w:r>
      <w:r>
        <w:rPr>
          <w:rFonts w:ascii="Times New Roman" w:hAnsi="Times New Roman"/>
          <w:sz w:val="20"/>
        </w:rPr>
        <w:t xml:space="preserve">” for additional information regarding Scilex’s ability to take such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Even when Scilex ceases to control a majority of our total voting power, for so long as Scilex continues to own a significant percentage of our Common Stock and for so long as the Scilex Group owns any shares of our Series A Preferred Stock, Scilex will still be able to significantly influence the composition of the Board and the approval of actions requiring stockholder approval. Accordingly, for such period of time, Scilex will have significant influence with respect to our management, business plans and policies. Because of the significant ownership position held by Scilex, our classified board structure and the rights granted to Scilex under the Stockholder Agreement, new investors may not be able to effect a change in our business or management. The concentration of ownership and availability of the foregoing rights could deprive our stockholders of an opportunity to receive a premium for their shares of Common Stock as part of a sale of our Company and ultimately might affect the market price of our Common Stock. See the risk factor below titled “</w:t>
      </w:r>
      <w:r>
        <w:rPr>
          <w:rFonts w:ascii="Times New Roman" w:hAnsi="Times New Roman"/>
          <w:i/>
          <w:sz w:val="20"/>
        </w:rPr>
        <w:t>Scilex, as the holder of our Series A Preferred Stock, will have rights, preferences and privileges that are not held by, and are preferential to, the rights of holders of our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interests of Scilex may not be aligned with those of other stockholders and this could lead to actions that may not be in the best interests of our other stockholders. For example, Scilex may have different tax positions or strategic plans for Semnur, which could influence its decisions regarding whether and when we should dispose of assets or incur new or refinance existing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Scilex’s significant ownership of us may discourage someone from making a significant equity investment in us, or could discourage transactions involving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Scilex and its affiliates engage in a broad spectrum of activities, including investments in our industry generally. In the ordinary course of their business activities, Scilex and its affiliates may engage in activities where their interests conflict with our interests or those of other stockholders, such as investing in or advising businesses that directly or indirectly compete with certain portions of our business or those businesses that are suppliers or customers of ours. The Charter will provide that, to the fullest extent permitted by law, none of Scilex and its affiliates and any person or entity who, while a stockholder, director, officer or agent of us or any of our affiliates, is a director, officer, principal, partner, member, manager, employee, agent and/or other representative of Scilex and its affiliates (each an “Identified Person”)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engaging, directly or indirectly, in the same or similar business activities or lines of business in which we operate. In addition, to the fullest extent permitted by law, no Identified Person will have any obligation to offer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Scilex may pursue acquisition opportunities that may be complementary to our business and, as a result, those acquisition opportunities may not be available to us. In addition, Scilex may have an interest in pursuing acquisitions, divestitures and other transactions that, in its judgment, could enhance its investment, even though such transactions might involve risks to our stockholders or may not prove beneficial.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Scilex, as the holder of Series A Preferred Stock, has rights, preferences and privileges that are not held by, and are preferential to, the rights of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Stock was issued only to Scilex and is not convertible into shares of Common Stock. However, the holders of Series A Preferred Stock have rights, preferences and privileges that are senior, or in addition, to the rights, preferences and privileges of the holders of Common Stock, including the right to receive, in the event of a change of control, liquidation dissolution or winding up of Semnur, a preference amount out of the assets available for distribution to stockholders before any distribution can be made to holders of Common Stock. The preference amount is $10.00 per share (subject to adjustment as set forth in the Certificate of Designations). If the Board declares or pays a dividend on the Common Stock, the holders of the Series A Preferred Stock will participate, on a deemed as-converted-to-common stock basis, in such dividend with the holders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Series A Preferred Stock have certain voting rights over our corporate actions (including, among others, any change to the shares of Series A Preferred Stock into cash or other property, the issuance of equity securities that rank on a parity with or senior to the Series A Preferred Stock with respect to dividend rights) or rights upon liquidation, dissolution or winding-up of our company and the amendment of the Charter in a manner that adversely affects the holders of shares of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Stockholder Agreement (and subject to certain rights of Oramed), from and after the Effective Time, and for so long as the Scilex Group beneficially owns any shares of Series A Preferred Stock, among other things, (i) Scilex shall have the right, but not the obligation, to designate each director to be nominated, elected or appointed to our Board (each, a “Stockholder Designee” and collectively, the “Stockholder Designees”), regardless of (a) whether such Stockholder Designee is to be elected to the Board at a meeting of stockholders called for the purpose of electing directors (or by consent in lieu of meeting) or appointed by the Board in order to fill any vacancy created by the departure of any director or increase in the authorized number of members of the Board, or (b) the size of the Board and (ii) we are required to take all actions reasonably necessary, and not otherwise prohibited by applicable law, to cause each Stockholder Designee to be so nominated, elected or appointed to the Board as more fully described in the Stockholder Agreement. Scilex shall also have the right to designate a replacement director for any Stockholder Designee that has been removed from the Board and the right to appoint a representative of Scilex to attend all meetings of the committees of the Board. Notwithstanding the foregoing, the parties have agreed to ensure that the Board complies with all applicable requirements of the stock exchange, including independence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Agreement also provides that we are prohibited from taking certain actions without the consent of Scilex. Such actions include, among other things, amendments to the Certificate of Designations, increases or decreases in the size of the Board, the incurrence of certain amounts of indebtedness and the payment of dividends on Common Stock. </w:t>
      </w:r>
    </w:p>
    <w:p>
      <w:pPr>
        <w:pStyle w:val="TextBody"/>
        <w:bidi w:val="0"/>
        <w:spacing w:before="240" w:after="0"/>
        <w:jc w:val="left"/>
        <w:rPr>
          <w:rFonts w:ascii="Times New Roman" w:hAnsi="Times New Roman"/>
          <w:sz w:val="20"/>
        </w:rPr>
      </w:pPr>
      <w:r>
        <w:rPr>
          <w:rFonts w:ascii="Times New Roman" w:hAnsi="Times New Roman"/>
          <w:sz w:val="20"/>
        </w:rPr>
        <w:t>For more information on the terms of the Series A Preferred Stock, see the section titled “</w:t>
      </w:r>
      <w:r>
        <w:rPr>
          <w:rFonts w:ascii="Times New Roman" w:hAnsi="Times New Roman"/>
          <w:i/>
          <w:sz w:val="20"/>
        </w:rPr>
        <w:t>Description of Securities—Preferred Stock</w:t>
      </w:r>
      <w:r>
        <w:rPr>
          <w:rFonts w:ascii="Times New Roman" w:hAnsi="Times New Roman"/>
          <w:sz w:val="20"/>
        </w:rPr>
        <w:t>” and the section titled “</w:t>
      </w:r>
      <w:r>
        <w:rPr>
          <w:rFonts w:ascii="Times New Roman" w:hAnsi="Times New Roman"/>
          <w:i/>
          <w:sz w:val="20"/>
        </w:rPr>
        <w:t>Certain Relationships and Related Party Transactions — Certain Transactions of Denali — Stockholder Agreement with Scilex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our operations and performance do not meet the expectations of investors or securities analysts, the market price of our securities may decline. </w:t>
      </w:r>
    </w:p>
    <w:p>
      <w:pPr>
        <w:pStyle w:val="TextBody"/>
        <w:bidi w:val="0"/>
        <w:spacing w:before="120" w:after="0"/>
        <w:jc w:val="left"/>
        <w:rPr>
          <w:rFonts w:ascii="Times New Roman" w:hAnsi="Times New Roman"/>
          <w:sz w:val="20"/>
        </w:rPr>
      </w:pPr>
      <w:r>
        <w:rPr>
          <w:rFonts w:ascii="Times New Roman" w:hAnsi="Times New Roman"/>
          <w:sz w:val="20"/>
        </w:rPr>
        <w:t xml:space="preserve">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 </w:t>
      </w:r>
    </w:p>
    <w:p>
      <w:pPr>
        <w:pStyle w:val="TextBody"/>
        <w:bidi w:val="0"/>
        <w:spacing w:before="240" w:after="0"/>
        <w:jc w:val="left"/>
        <w:rPr>
          <w:rFonts w:ascii="Times New Roman" w:hAnsi="Times New Roman"/>
          <w:sz w:val="20"/>
        </w:rPr>
      </w:pPr>
      <w:r>
        <w:rPr>
          <w:rFonts w:ascii="Times New Roman" w:hAnsi="Times New Roman"/>
          <w:sz w:val="20"/>
        </w:rPr>
        <w:t xml:space="preserve">Factors affecting the trading price of our securities may include: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its product candidate, if approved;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status and cost of our marketing commitments for its product candidate;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regarding results of any clinical trials relating to our product candidate;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110"/>
        <w:gridCol w:w="60"/>
        <w:gridCol w:w="7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any of our product candidate;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our product candidate, including but not limited to clinical trial requirements for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disputes or other developments relating to proprietary rights, including patents, litigation matters and our ability to obtain patent protection for its product candidate, government investigations and the results of any proceedings or lawsuits, including, but not limited to, patent or stockholder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decision to initiate a clinical trial, not initiate a clinical trial or to terminate an existing clinical trial;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10"/>
        <w:gridCol w:w="6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introduction of new products by our competitors;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trends in the pharmaceutical and biotechnology sectors;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product development results or intellectual property rights of others;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issuances of common stock or other securities;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any financial guidance or expectations regarding product development milestones that we may provide to the public;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or exceed the estimates and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performance of the equity markets and other factors that may be unrelated to our operating performance or the operating performance of its competitors, including changes in market valuations of similar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us or our competitors;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by us or by any securities analysts who might cover its stock;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 of the market values of any of our potential strategic investments;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issuances of debt or equity securities;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our contractual obligations;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Stock by us or our stockholders in the future;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Common Stock;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ineffectiveness of our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us or our industry or positive or negative recommendations or withdrawal of research coverage by securities analysts; </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75"/>
        <w:gridCol w:w="110"/>
        <w:gridCol w:w="60"/>
        <w:gridCol w:w="2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 with Scilex;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and economic conditions, including the wars in Ukraine and Israel; </w:t>
            </w:r>
          </w:p>
        </w:tc>
      </w:tr>
    </w:tbl>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effects of natural or man-made catastrophic events;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effects of public health crises, pandemics and epidemics;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many of which are beyond our control, such as the government closure of Silicon Valley Bank and Signature Bank, and liquidity concerns at other financial institutions.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the global equity markets in general have recently experienced extreme price and volume fluctuations, 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the Common Stock might worsen if the trading volume of the Common Stock is low. In the past, stockholders have initiated class action lawsuits against pharmaceutical and biotechnology companies following periods of volatility in the market prices of these companies’ stock. Such litigation,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instituted against us, could cause us to incur substantial costs and divert management’s attention and resources from its business. The realization of any of the above risks or any of a broad range of other risks, including those described in these “Risk Factors”, could have a dramatic and material adverse impact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paid cash dividends in the past and we do not expect to pay cash dividends in the foreseeable future. Any return on investment may be limited to the capital appreciation, if any,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cash dividends on our Common Stock and do not anticipate paying cash dividends on our Common Stock in the foreseeable future. The payment of dividends on our capital stock will depend on our earnings, financial condition and other business and economic factors affecting us at such time as its board of directors may consider relevant.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of a substantial number of shares of Common Stock may cause the price of the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If our existing stockholders sell, or indicate an intention to sell, substantial amounts of our Common Stock, the trading price of our Common Stock could decline and it could impair our ability to raise capital through the sale of additional equity securities. The Sponsor Shares, except those held by our former directors and officers, and Private Warrants are subject to lock-up provisions that restrict the ability to transfer such shares of Common Stock and Private Warrants until one year from the close of the Business Combination, subject to certain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results may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We expect our operating results to be subject to quarterly, and possibly annual, fluctuations. Our net loss and other operating results will be affected by numerous factors, including: </w:t>
      </w:r>
    </w:p>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level of expenses related to our development programs; </w:t>
            </w:r>
          </w:p>
        </w:tc>
      </w:tr>
    </w:tbl>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or termination of clinical trials;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intellectual property infringement lawsuit in which Semnur may become involved;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our product candidate, regulatory approvals of its product candidate, and the level of underlying demand for such product candidate and purchasing patterns;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execution of any collaborative, licensing or similar arrangements, and the timing of payments we may make or receive under these arrangements;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on pharmaceutical purchases and prices of the timing during which patients who purchase our product satisfy their deductibles under the reimbursement requirements of their health providers’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quarterly or annual operating results fall below the expectations of investors or securities analysts, the price of its common stock could decline substantially. Furthermore, any quarterly or annual fluctuations in our operating results may, in turn, cause the price of our Common Stock to fluctuate substantially.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cash and cash equivalents could be adversely affected if the financial institutions in which we hold our cash and cash equivalents fail. </w:t>
      </w:r>
    </w:p>
    <w:p>
      <w:pPr>
        <w:pStyle w:val="TextBody"/>
        <w:bidi w:val="0"/>
        <w:spacing w:before="120" w:after="0"/>
        <w:jc w:val="left"/>
        <w:rPr>
          <w:rFonts w:ascii="Times New Roman" w:hAnsi="Times New Roman"/>
          <w:sz w:val="20"/>
        </w:rPr>
      </w:pPr>
      <w:r>
        <w:rPr>
          <w:rFonts w:ascii="Times New Roman" w:hAnsi="Times New Roman"/>
          <w:sz w:val="20"/>
        </w:rPr>
        <w:t xml:space="preserve">On March 10, 2023, the Federal Deposit Insurance Corporation (the “FDIC”) announced that Silicon Valley Bank had been closed by the California Department of Financial Protection and Innovation and on March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2023, Signature Bank was closed by the New York State Department of Financial Services and the FDIC was named receiver. Although Semnur does not maintain any bank accounts with Silicon Valley Bank or Signature Bank, Semnur regularly maintains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issue an adverse opinion regarding our stock,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issues an adverse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existing stockholders, restrict our operations or require us to relinquish rights to our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We may issue additional equity securities to fund future expansion and pursuant to equity incentive or employee benefit plans. We may also issue additional equity for other purposes. These securities may have the same rights as Common Stock or, alternatively, may have dividend, liquidation or other preferences to our Common Stock. The issuance of additional equity securities will dilute the holdings of existing stockholders and may reduce the share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entered into in connection with the Business Combination, certain stockholders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our other securities.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 licensing or other similar arrangements, we may have to relinquish valuable rights to its product candidate, or grant licenses on terms unfavorable to us. If adequate funds are not available, our ability to achieve profitability or to respond to competitive pressures would be significantly limited and we may be required to delay, significantly curtail or eliminate the development of our product candidate.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principal stockholders, directors and executive officers will own a significant percentage of our capital stock, and have significant influence over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our directors, executive officers, holders of 5% or more of our capital stock and their respective affiliates are expected to beneficially own, in the aggregate, approximately 94% of our outstanding voting stock (excluding voting power represented by the Series A Preferred Stock held by Scilex). This concentration of voting power may make it less likely that any other holder of Common Stock will be able to affect the way we are managed and could delay or prevent an acquisition of our company on terms that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stockholders may desire. This could prevent transactions in which stockholders might otherwise recover a premium for their shares over current market prices. See “</w:t>
      </w:r>
      <w:r>
        <w:rPr>
          <w:rFonts w:ascii="Times New Roman" w:hAnsi="Times New Roman"/>
          <w:i/>
          <w:sz w:val="20"/>
        </w:rPr>
        <w:t>Risk Factors — We are controlled by Scilex, whose interests may differ from those of our public shareholders</w:t>
      </w:r>
      <w:r>
        <w:rPr>
          <w:rFonts w:ascii="Times New Roman" w:hAnsi="Times New Roman"/>
          <w:sz w:val="20"/>
        </w:rPr>
        <w:t>” above for additional information regarding Scilex’s influence and control in us. See “</w:t>
      </w:r>
      <w:r>
        <w:rPr>
          <w:rFonts w:ascii="Times New Roman" w:hAnsi="Times New Roman"/>
          <w:i/>
          <w:sz w:val="20"/>
        </w:rPr>
        <w:t>Security Ownership of Certain Beneficial Owners and Management</w:t>
      </w:r>
      <w:r>
        <w:rPr>
          <w:rFonts w:ascii="Times New Roman" w:hAnsi="Times New Roman"/>
          <w:sz w:val="20"/>
        </w:rPr>
        <w:t xml:space="preserve">” for information regarding the ownership of our outstanding stock by our directors, executive officers, and current beneficial owners of 5% or more of our voting securities and their respective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and tax credit carryforwards may be subject to limitation. </w:t>
      </w:r>
    </w:p>
    <w:p>
      <w:pPr>
        <w:pStyle w:val="TextBody"/>
        <w:bidi w:val="0"/>
        <w:spacing w:before="120" w:after="0"/>
        <w:jc w:val="left"/>
        <w:rPr>
          <w:rFonts w:ascii="Times New Roman" w:hAnsi="Times New Roman"/>
          <w:sz w:val="20"/>
        </w:rPr>
      </w:pPr>
      <w:r>
        <w:rPr>
          <w:rFonts w:ascii="Times New Roman" w:hAnsi="Times New Roman"/>
          <w:sz w:val="20"/>
        </w:rPr>
        <w:t xml:space="preserve">Generally, a change of more than 50% in the ownership of a company’s stock, by value, over a three-year period constitutes an ownership change for U.S. federal income tax purposes. An ownership change may limit Semnur’s ability to use its net operating loss carryforwards attributable to the period prior to the change. Semnur has experienced a corporate reorganization in the past and may experience ownership changes in the future as a result of the Business Combination and/or subsequent changes in its stock ownership (some of which shifts are outside its control). As a result, if Semnur earns net taxable income, its ability to use its pre-change net operating loss carryforwards to offset U.S. federal taxable income may become subject to limitations, which could potentially result in increased future tax liability for Semnur. </w:t>
      </w:r>
    </w:p>
    <w:p>
      <w:pPr>
        <w:pStyle w:val="TextBody"/>
        <w:bidi w:val="0"/>
        <w:spacing w:before="240" w:after="0"/>
        <w:jc w:val="left"/>
        <w:rPr>
          <w:rFonts w:ascii="Times New Roman" w:hAnsi="Times New Roman"/>
          <w:sz w:val="20"/>
        </w:rPr>
      </w:pPr>
      <w:r>
        <w:rPr>
          <w:rFonts w:ascii="Times New Roman" w:hAnsi="Times New Roman"/>
          <w:sz w:val="20"/>
        </w:rPr>
        <w:t xml:space="preserve">The Tax Cuts and JOBS Act of 2017 (the “TCJA”), as amended by the CARES Act, includes changes to U.S. federal tax rates and the rules governing net operating loss (“NOL”) carryforwards. The TCJA, as modified by the 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Semnur’s ability to utilize its NOLs to offset taxable income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Charter and the Bylaws and under Delaware law could make an acquisition of our company, which may be beneficial to its stockholders, more difficult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the Bylaws, each of which will be in effect upon completion of the Business Combination, and the DGCL contain provisions that could make it more difficult for a third party to acquire our company, even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doing so might be beneficial to our stockholders. Among other things,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 classified board of directors with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at any time after the Scilex Trigger Event, directors may only be removed for cause, and only by the affirmative vote of holders of at least 66 2/3% in voting power of all the then-outstanding shares of Common Stock entitled to vote thereon, voting together as a single class;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from and after the Scilex Trigger Event;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at any time after the Scilex Trigger Event, special meetings may only be called by or at the direction of the Chairman of the Board, the Board or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at any time after the Scilex Trigger Event, any alteration, amendment or repeal, in whole or in part, of any provision of the Bylaws by stockholders will require the affirmative vote of the holders of at least 66 2/3% in voting power of all the then-outstanding shares of the Common Stock entitled to vote thereon, voting together as a single class;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elections to the Board and for proposing matters that can be acted upon by stockholders at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the occurrence of a Scilex Trigger Event. At that time, such election shall be automatically withdrawn and we will thereafter be governed by Section 203 of the DGCL, except that the restrictions on business combinations of Section 203 of the DGCL will not apply to Scilex or its current or future Affiliates (as defined in the Charter) regardless of its percentage ownership of Common Stock. These provisions could discourage, delay or prevent a transaction involving a change in control of our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the Board is responsible for appointing the members of our management team, these provisions could in turn affect any attempt by our stockholders to replace current members of our management team. </w:t>
      </w:r>
    </w:p>
    <w:p>
      <w:pPr>
        <w:pStyle w:val="TextBody"/>
        <w:bidi w:val="0"/>
        <w:spacing w:before="240" w:after="0"/>
        <w:jc w:val="left"/>
        <w:rPr>
          <w:rFonts w:ascii="Times New Roman" w:hAnsi="Times New Roman"/>
          <w:sz w:val="20"/>
        </w:rPr>
      </w:pPr>
      <w:r>
        <w:rPr>
          <w:rFonts w:ascii="Times New Roman" w:hAnsi="Times New Roman"/>
          <w:sz w:val="20"/>
        </w:rPr>
        <w:t>These anti-takeover provisions and other provisions in the Charter, the Bylaws and Delaware law could make it more difficult for stockholders or potential acquirors to obtain control of the Board or initiate actions that are opposed by our then-current board of directors and could also delay or impede a merger, tender offer or proxy contest involving us. The existence of these provisions could negatively affect the price of Common Stock and limit opportunities for a stockholder to realize value in a corporate transaction. For additional information regarding these and other provisions, see the section titled “</w:t>
      </w:r>
      <w:r>
        <w:rPr>
          <w:rFonts w:ascii="Times New Roman" w:hAnsi="Times New Roman"/>
          <w:i/>
          <w:sz w:val="20"/>
        </w:rPr>
        <w:t>Description of Securities.</w:t>
      </w:r>
      <w:r>
        <w:rPr>
          <w:rFonts w:ascii="Times New Roman" w:hAnsi="Times New Roman"/>
          <w:sz w:val="20"/>
        </w:rPr>
        <w:t xml:space="preserve">” In addition, if prospective takeovers are not consummated for any reason, we may experience negative reactions from the financial markets, including negative impacts on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Charter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Certificate of Incorporation, unless we consent in writing to the selection of an alternative forum, the Court of Chancery of the State of Delaware (or, if and only if the Court of Chancery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hAnsi="Times New Roman"/>
          <w:i/>
          <w:sz w:val="20"/>
        </w:rPr>
        <w:t>provided that</w:t>
      </w:r>
      <w:r>
        <w:rPr>
          <w:rFonts w:ascii="Times New Roman" w:hAnsi="Times New Roman"/>
          <w:sz w:val="20"/>
        </w:rPr>
        <w:t xml:space="preserve">, for the avoidance of doubt, the foregoing forum selection provision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The Charter also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The Charter further provides that any person or entity purchasing or otherwise acquiring any interest in shares of our Common Stock is deemed to have notice of and consented to the provisions of the Charter described above. See the section of this prospectus titled “</w:t>
      </w:r>
      <w:r>
        <w:rPr>
          <w:rFonts w:ascii="Times New Roman" w:hAnsi="Times New Roman"/>
          <w:i/>
          <w:sz w:val="20"/>
        </w:rPr>
        <w:t>Description of Securities</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forum selection provisions in the Certificate of Incorporation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we cannot be certain if the reduced reporting requirements applicable to emerging growth companies will make our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its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day of the second fiscal quarter of such year, and (2) the date on which we have issued more than $1 billion in non-convertible debt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of the date of this prospectus, we are 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Scilex controls a majority of the voting power of the outstanding shares of Common Stock. As a result, if our Nasdaq listing application is approved, we will be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not required to have a board that is composed of a majority of “independent directors” as defined under the Nasdaq Listing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not required to have a compensation committee that is composed entirely of independent directors or have a written charter addressing the committee’s purpose and responsibilities;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not required to have director nominations be made, or recommended to the full board of directors, by its independent directors or by a nominating and corporate governance committee that is composed entirely of independent directors, and to adopt a written charter or a board resolution addressing the nominations process.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we do not presently intend to rely on these exemptions, we may opt to utilize these exemptions in the future as long as we remain a controlled company. Accordingly, our stockholders may not have the same protections afforded to stockholders of companies that are subject to all of the corporate governance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If we cease to be a “controlled company” in the future and we are then listed on Nasdaq, we will be required to comply with the Nasdaq listing standards, which may require replacing a number of directors and will require development of certain other governance-related policies and practices. These and any other actions necessary to achieve compliance with such rules may increase our legal and administrative costs, will make some activities more difficult, time-consuming and costly and may also place additional strain on our personnel, systems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devote substantial time to related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Dodd-Frank Wall Street Reform and Consumer Protection Act (the “Dodd-Frank Act”), as well as rules and regulations adopted, and to be adopted, by the SEC and Nasdaq. Our management and other personnel will need to devote a substantial amount of time to these compliance initiatives. Moreover, we expect these rules and regulations to substantially increase its legal and financial compliance costs and to make some activities more time-consuming and costly, which will increase its operating expenses. For example, we expect these rules and regulations to make it more difficult and more expensive for we to obtain directors’ and officers’ liability insurance and we may be required to incur substantial costs to maintain sufficient coverage. we cannot predict or estimate the amount or timing of additional costs it may incur to respond to these requirements. The impact of these requirements could also make it more difficult for we to attract and retain qualified persons to serve on the we Board, our board committees or as executive officers. Advocacy efforts by stockholders and third parties may also prompt additional changes in governance and reporting requirements, which could further increase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expect that we will need to implement an ERP system.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its business using the system, which may result in substantial costs. Any disruptions or difficulties in implementing or using an ERP system could adversely affect our controls and harm its business, financial condition and results of operations, including its ability to forecast or make sales and collect its receivables. Moreover, such disruption or difficulties could result in unanticipated costs and diversion of management attention.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will be required to incur additional costs and obligations in order to comply with SEC rules that implement Section 404 of the Sarbanes-Oxley Act. Under these rules, we will be required to make a formal assessment of the effectiveness of its internal control over financial reporting, and once we cease to be an emerging growth company, we will be required to include an attestation report on internal control over financial reporting issued by its independent registered public accounting firm. To achieve compliance with Section 404 within the prescribed period, we will be engaging in a process to document and evaluate its internal control over financial reporting, which is both costly and challenging. In this regard, we will need to continue to dedicate internal resources, potentially engage outside consultants and adopt a detailed work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See “</w:t>
      </w:r>
      <w:r>
        <w:rPr>
          <w:rFonts w:ascii="Times New Roman" w:hAnsi="Times New Roman"/>
          <w:i/>
          <w:sz w:val="20"/>
        </w:rPr>
        <w:t>Risk Factors — We have identified material weaknesses in our internal control over financial reporting. Any material weakness may cause us to fail to timely and accurately report our financial results or result in a material misstatement of our financial statements.</w:t>
      </w:r>
      <w:r>
        <w:rPr>
          <w:rFonts w:ascii="Times New Roman" w:hAnsi="Times New Roman"/>
          <w:sz w:val="20"/>
        </w:rPr>
        <w:t xml:space="preserve">” above for additional information regarding previously identified material weaknesses. These reporting and other obligations place significant demands on our management and administrative and operational resources, including accounting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its management’s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we and there could be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satisfy the initial listing requirements and other rules of Nasdaq, our securities may not be listed on Nasdaq, which could negatively impact the price of its securities and your ability to sell them. </w:t>
      </w:r>
    </w:p>
    <w:p>
      <w:pPr>
        <w:pStyle w:val="TextBody"/>
        <w:bidi w:val="0"/>
        <w:spacing w:before="120" w:after="0"/>
        <w:jc w:val="left"/>
        <w:rPr>
          <w:rFonts w:ascii="Times New Roman" w:hAnsi="Times New Roman"/>
          <w:sz w:val="20"/>
        </w:rPr>
      </w:pPr>
      <w:r>
        <w:rPr>
          <w:rFonts w:ascii="Times New Roman" w:hAnsi="Times New Roman"/>
          <w:sz w:val="20"/>
        </w:rPr>
        <w:t xml:space="preserve">We intend to seek a listing of our securities on Nasdaq. We cannot assure you that we will be able to meet those initial listing requirements at that time. Our securities are currently traded on the Pink Limited Market of the OTC Markets. </w:t>
      </w:r>
    </w:p>
    <w:p>
      <w:pPr>
        <w:pStyle w:val="TextBody"/>
        <w:bidi w:val="0"/>
        <w:spacing w:before="240" w:after="0"/>
        <w:jc w:val="left"/>
        <w:rPr>
          <w:rFonts w:ascii="Times New Roman" w:hAnsi="Times New Roman"/>
          <w:sz w:val="20"/>
        </w:rPr>
      </w:pPr>
      <w:r>
        <w:rPr>
          <w:rFonts w:ascii="Times New Roman" w:hAnsi="Times New Roman"/>
          <w:sz w:val="20"/>
        </w:rPr>
        <w:t xml:space="preserve">Even if our securities are listed on Nasdaq, we cannot assure you that our securities will continue to be listed on Nasdaq. If we fail to satisfy Nasdaq’s continued listing requirements, such as the corporate governance requirements or the minimum closing bid price requirement, Nasdaq may take steps to delist our Common Stock. Such a delisting would likely have a negative effect on the price of Common Stock and would impair a stockholder’s ability to sell or purchase Common Stock when a stockholder wishes to do so. </w:t>
      </w:r>
    </w:p>
    <w:p>
      <w:pPr>
        <w:pStyle w:val="TextBody"/>
        <w:bidi w:val="0"/>
        <w:spacing w:before="240" w:after="0"/>
        <w:jc w:val="left"/>
        <w:rPr>
          <w:rFonts w:ascii="Times New Roman" w:hAnsi="Times New Roman"/>
          <w:sz w:val="20"/>
        </w:rPr>
      </w:pPr>
      <w:r>
        <w:rPr>
          <w:rFonts w:ascii="Times New Roman" w:hAnsi="Times New Roman"/>
          <w:sz w:val="20"/>
        </w:rPr>
        <w:t xml:space="preserve">If Nasdaq does not list our securities, or subsequently delists our securities from trading, we could face significant consequences, including: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for market quotations for our securities;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liquidity with respect to our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our Common Stock is a “penny stock,” which will require brokers trading in our Common Stock to adhere to more stringent rules and possibly result in a reduced level of trading activity in the secondary trading market for our Common Stock;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amount of news and analyst coverage; and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Nasdaq approves our listing application, in the event of a subsequent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 Listing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U.S. federal income tax reform could adversely affect Semnur. </w:t>
      </w:r>
    </w:p>
    <w:p>
      <w:pPr>
        <w:pStyle w:val="TextBody"/>
        <w:bidi w:val="0"/>
        <w:spacing w:before="120" w:after="0"/>
        <w:jc w:val="left"/>
        <w:rPr>
          <w:rFonts w:ascii="Times New Roman" w:hAnsi="Times New Roman"/>
          <w:sz w:val="20"/>
        </w:rPr>
      </w:pPr>
      <w:r>
        <w:rPr>
          <w:rFonts w:ascii="Times New Roman" w:hAnsi="Times New Roman"/>
          <w:sz w:val="20"/>
        </w:rPr>
        <w:t xml:space="preserve">Changes to tax laws, which changes may have retroactive application, could adversely affect us or holders of our Common Stock. In recent years, many changes have been made to applicable tax laws and changes are likely to continue to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2020, then-President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On August 16, 2022, former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provisions of the TCJA expire at the end of 2025 or are modified beginning in 2026. The U.S. Congress and the current administration have indicated that they intend to pursue legislation in 2025 to make permanent the 2017 TCJA provisions but there is no guarantee that this initiative will be successful.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Warrants are exercisable for Common Stock, which would increase the number of shares eligible for future resale in the public market and result in dilution to our stockholders. </w:t>
      </w:r>
    </w:p>
    <w:p>
      <w:pPr>
        <w:pStyle w:val="TextBody"/>
        <w:bidi w:val="0"/>
        <w:spacing w:before="120" w:after="0"/>
        <w:jc w:val="left"/>
        <w:rPr>
          <w:rFonts w:ascii="Times New Roman" w:hAnsi="Times New Roman"/>
          <w:sz w:val="20"/>
        </w:rPr>
      </w:pPr>
      <w:r>
        <w:rPr>
          <w:rFonts w:ascii="Times New Roman" w:hAnsi="Times New Roman"/>
          <w:sz w:val="20"/>
        </w:rPr>
        <w:t>Outstanding warrants to purchase an aggregate of 8,760,000 shares of Common Stock became exercisable in accordance with the terms of the warrant agreement, dated April 6, 2022, by and between VStock, as warrant agent, and Denali (the “Warrant Agreement”), governing those securities, on the date of the completion of the Business Combination. The exercise price of these Warrants is $11.50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prevailing market prices of Common Stock. However, there is no guarantee that the Warrants will ever be in the money prior to their expiration, and as such, the Warrants may expire worthless. See below risk factor, “</w:t>
      </w:r>
      <w:r>
        <w:rPr>
          <w:rFonts w:ascii="Times New Roman" w:hAnsi="Times New Roman"/>
          <w:i/>
          <w:sz w:val="20"/>
        </w:rPr>
        <w:t>The Warrants may never be in the money, and they may expire worthless and the terms of the Warrants may be amended in a manner adverse to a holder if holders of a majority of the then-outstanding Warrants approve of such amendment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Warrants may never be in the money, they may expire worthless and the terms of the Warrants may be amended in a manner adverse to a holder if holders of a majority of the then-outstanding Warrants approve of such amendment. </w:t>
      </w:r>
    </w:p>
    <w:p>
      <w:pPr>
        <w:pStyle w:val="TextBody"/>
        <w:bidi w:val="0"/>
        <w:spacing w:before="120" w:after="0"/>
        <w:jc w:val="left"/>
        <w:rPr>
          <w:rFonts w:ascii="Times New Roman" w:hAnsi="Times New Roman"/>
          <w:sz w:val="20"/>
        </w:rPr>
      </w:pPr>
      <w:r>
        <w:rPr>
          <w:rFonts w:ascii="Times New Roman" w:hAnsi="Times New Roman"/>
          <w:sz w:val="20"/>
        </w:rPr>
        <w:t xml:space="preserve">The Warrants were issued in registered form under the Warrant Agreement between VStock, as warrant agent, and Denali. The Warrant Agreement provides that the terms of the Warrants may be amended without the consent of any holder to cure any ambiguity or correct any defective provision or correct any mistake, but requires the approval by the holders of a majority of the then-outstanding Warrants to make any change that adversely affects the interests of the registered holders of Warrants. Accordingly, we may amend the terms of the Warrants in a manner adverse to a holder if holders of a majority of the then-outstanding Warrants approve of such amendment. Although our ability to amend the terms of the Warrants with the consent of majority of the then-outstanding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redeem any unexpired Warrants prior to their exercise at a time that is disadvantageous to you, thereby making the Warrants worthless. </w:t>
      </w:r>
    </w:p>
    <w:p>
      <w:pPr>
        <w:pStyle w:val="TextBody"/>
        <w:bidi w:val="0"/>
        <w:spacing w:before="120" w:after="0"/>
        <w:jc w:val="left"/>
        <w:rPr>
          <w:rFonts w:ascii="Times New Roman" w:hAnsi="Times New Roman"/>
          <w:sz w:val="20"/>
        </w:rPr>
      </w:pPr>
      <w:r>
        <w:rPr>
          <w:rFonts w:ascii="Times New Roman" w:hAnsi="Times New Roman"/>
          <w:sz w:val="20"/>
        </w:rPr>
        <w:t xml:space="preserve">We have the ability to redeem outstanding Warrants at any time after they become exercisable and prior to their expiration,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we may exercise our redemption right even if we are unable to register or qualify the underlying securities for sale under all applicable state securities laws. Redemption of the outstanding Warrants could force the holders thereof to: (i) exercise such Warrants and pay the exercise price therefor at a time when it may be disadvantageous for a holder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sell such Warrants at the then-current market price when a holder might otherwise wish to hold such Warrants; or (iii) accept the nominal redemption price that, at the time the outstanding Warrants are called for redemption, is likely to be substantially less than the market value of such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redeem the Warrants at any time after they become exercisable and prior to their expiration for a number of shares of Common Stock determined based on the fair market value of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Cryptocurrency </w:t>
      </w:r>
    </w:p>
    <w:p>
      <w:pPr>
        <w:pStyle w:val="TextBody"/>
        <w:bidi w:val="0"/>
        <w:spacing w:before="120" w:after="0"/>
        <w:jc w:val="left"/>
        <w:rPr>
          <w:rFonts w:ascii="Times New Roman" w:hAnsi="Times New Roman"/>
          <w:i/>
          <w:sz w:val="20"/>
        </w:rPr>
      </w:pPr>
      <w:r>
        <w:rPr>
          <w:rFonts w:ascii="Times New Roman" w:hAnsi="Times New Roman"/>
          <w:i/>
          <w:sz w:val="20"/>
        </w:rPr>
        <w:t xml:space="preserve">As disclosed elsewhere in this prospectus, on September 23, 2025, Semnur entered into the Biconomy SPA with Biconomy, pursuant to which we agreed to issue and sell, and Biconomy agreed to purchase, an aggregate of 6,250,000 Biconomy Shares, for a purchase price of $16.00 per share, payable in Bitcoin blockchain (“Bitcoin”). The closing of the transactions contemplated by the Biconomy SPA has not occurred as of the date of this prospectus. However, before making an investment decision, you should consider carefully whether such pending transaction has been completed and any other disclosures that we may make from time to time regarding the closing of such transaction and/or our future cryptocurrency financings or treasury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Company intends to use the net proceeds from the Biconomy SPA, which as of the date of this prospectus has not closed and will be paid in Bitcoin, to fund investments in other companies. The price of Bitcoin has been, and will likely continue to be, highly volatile. The Company’s operating results and share price may significantly fluctuate, including due to the highly volatile nature of the price of such digital assets and erratic market movements.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the Biconomy SPA, which as of the date of this prospectus has not closed and will be paid in Bitcoin, to establish the Company’s cryptocurrency treasury operations and to fund our investment in other companies. Digital assets generally are highly volatile assets. In addition, digital assets do not pay interest or other returns and so the ability to generate a return on investment from the net proceeds of any capital raisings will depend on whether there is appreciation in the value of digital assets following our purchases of digital assets with the net proceeds from such capital raisings. Future fluctuations in digital asset trading prices may result in our converting digital assets into cash with a value substantially below what we paid for such digital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cryptocurrency treasury strategy has not been implemented or tested. </w:t>
      </w:r>
    </w:p>
    <w:p>
      <w:pPr>
        <w:pStyle w:val="TextBody"/>
        <w:bidi w:val="0"/>
        <w:spacing w:before="120" w:after="0"/>
        <w:jc w:val="left"/>
        <w:rPr>
          <w:rFonts w:ascii="Times New Roman" w:hAnsi="Times New Roman"/>
          <w:sz w:val="20"/>
        </w:rPr>
      </w:pPr>
      <w:r>
        <w:rPr>
          <w:rFonts w:ascii="Times New Roman" w:hAnsi="Times New Roman"/>
          <w:sz w:val="20"/>
        </w:rPr>
        <w:t xml:space="preserve">Our cryptocurrency acquisition and treasury strategy has not been tested. Although we believe cryptocurrency has the potential to serve as a hedge against inflation in the long term, the short-term price of cryptocurrency as an asset class declined in recent periods during which the inflation rate increased. Some investors and other market participants may disagree with our cryptocurrency acquisition strategy or actions we undertake to implement it. If cryptocurrency prices were to decrease or our cryptocurrency acquisition strategy otherwise proves unsuccessful, our financial condition, results of operations, and the market price of our common stock would be materially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Bitcoin and other digital assets are novel assets, and are subject to significant legal, commercial, regulatory and technical uncertainty, which could materially adversely affect the Company’s financial position,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Bitcoin and other digital assets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Bitcoin or other digital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the U.S. executive branch, SEC, the European Union’s Markets in Crypto Assets Regulation, among others, have been active in recent years, and in the U.K., the Financial Services and Markets Act 2023, or FSMA 2023 became law.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Bitcoin specifically. The consequences of increased regulation of digital assets and digital asset activities could adversely affect the market price of Bitcoin and in turn adversely affect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means of payment, and the availability and popularity of alternatives to bitcoin. Even if growth in Bitcoin adoption occurs in the near or medium-term, there is no assurance that Bitcoin usage will continue to grow over the long-term. </w:t>
      </w:r>
    </w:p>
    <w:p>
      <w:pPr>
        <w:pStyle w:val="TextBody"/>
        <w:bidi w:val="0"/>
        <w:spacing w:before="240" w:after="0"/>
        <w:jc w:val="left"/>
        <w:rPr>
          <w:rFonts w:ascii="Times New Roman" w:hAnsi="Times New Roman"/>
          <w:sz w:val="20"/>
        </w:rPr>
      </w:pPr>
      <w:r>
        <w:rPr>
          <w:rFonts w:ascii="Times New Roman" w:hAnsi="Times New Roman"/>
          <w:sz w:val="20"/>
        </w:rPr>
        <w:t xml:space="preserve">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Similarly, the open-source nature of the bitcoin blockchain means the contributors and developers of the Bitcoin blockchain are generally not directly compensated for their contributions in maintaining and developing the blockchain, and any failure to properly monitor and upgrade the Bitcoin blockchain could adversely affect the Bitcoin blockchain and negatively affect the price of Bitcoin. </w:t>
      </w:r>
    </w:p>
    <w:p>
      <w:pPr>
        <w:pStyle w:val="TextBody"/>
        <w:bidi w:val="0"/>
        <w:spacing w:before="240" w:after="0"/>
        <w:jc w:val="left"/>
        <w:rPr>
          <w:rFonts w:ascii="Times New Roman" w:hAnsi="Times New Roman"/>
          <w:sz w:val="20"/>
        </w:rPr>
      </w:pPr>
      <w:r>
        <w:rPr>
          <w:rFonts w:ascii="Times New Roman" w:hAnsi="Times New Roman"/>
          <w:sz w:val="20"/>
        </w:rPr>
        <w:t xml:space="preserve">The liquidity of Bitcoin may also be impacted to the extent that changes in applicable laws and regulatory requirements negatively impact the ability of exchanges and trading venues to provide services for Bitcoin and other digital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any of the digital assets that we hold are classified as a security, we may be subject to extensive regulation, which could result in significant costs or force us to cease operations. </w:t>
      </w:r>
    </w:p>
    <w:p>
      <w:pPr>
        <w:pStyle w:val="TextBody"/>
        <w:bidi w:val="0"/>
        <w:spacing w:before="120" w:after="0"/>
        <w:jc w:val="left"/>
        <w:rPr>
          <w:rFonts w:ascii="Times New Roman" w:hAnsi="Times New Roman"/>
          <w:sz w:val="20"/>
        </w:rPr>
      </w:pPr>
      <w:r>
        <w:rPr>
          <w:rFonts w:ascii="Times New Roman" w:hAnsi="Times New Roman"/>
          <w:sz w:val="20"/>
        </w:rPr>
        <w:t xml:space="preserve">Regulatory changes or interpretations that classify digital assets that we hold as a security under the Securities Act of 1933, as amended, or Investment Company Act of 1940, as amended (the “Investment Company Act”), could require us to register and comply with additional regulations. Compliance with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could impose extraordinary, non-recurring expenses on our business. If the costs and regulatory burdens become too great, we may be forced to modify or cease certain operations, which could be detrimental to our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SEC has previously indicated that certain digital assets may be considered securities depending on their structure and use. Future developments could change the legal status of digital assets that we may hold, requiring us to comply with securities laws. If we fail to do so, we may be forced to discontinue some or all of our business activities, negatively impacting investments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SEC or other regulators determine that digital assets that we may hold qualify as securities, we may be required to register as an investment company under the Investment Company Act. This classification would subject us to additional periodic reporting, disclosure requirements, and regulatory compliance obligations, significantly increasing our operational costs. In addition, if Bitcoin or another digital asset we hold were determined to constitute a security for purposes of the federal securities laws, we would likely take steps to reduce the percentage of Bitcoin or such other digital assets that constitute investment assets under the Investment Company Act. These steps may include, among others, selling Bitcoin that we might otherwise hold for the long term and deploying our cash in non-investment assets, and we may be forced to sell our Bitcoin or other digital assets at unattractive prices. </w:t>
      </w:r>
    </w:p>
    <w:p>
      <w:pPr>
        <w:pStyle w:val="TextBody"/>
        <w:bidi w:val="0"/>
        <w:spacing w:before="240" w:after="0"/>
        <w:jc w:val="left"/>
        <w:rPr>
          <w:rFonts w:ascii="Times New Roman" w:hAnsi="Times New Roman"/>
          <w:sz w:val="20"/>
        </w:rPr>
      </w:pPr>
      <w:r>
        <w:rPr>
          <w:rFonts w:ascii="Times New Roman" w:hAnsi="Times New Roman"/>
          <w:sz w:val="20"/>
        </w:rPr>
        <w:t xml:space="preserve">Although we do not currently engage in investing, reinvesting, or trading securities, and we do not hold ourselves out as an investment company, we could inadvertently be deemed one under the Investment Company Act. If we are unable to rely on an exclusion, we would be required to register with the SEC, which could impose additional financial and regulatory burdens. </w:t>
      </w:r>
    </w:p>
    <w:p>
      <w:pPr>
        <w:pStyle w:val="TextBody"/>
        <w:bidi w:val="0"/>
        <w:spacing w:before="240" w:after="0"/>
        <w:jc w:val="left"/>
        <w:rPr>
          <w:rFonts w:ascii="Times New Roman" w:hAnsi="Times New Roman"/>
          <w:sz w:val="20"/>
        </w:rPr>
      </w:pPr>
      <w:r>
        <w:rPr>
          <w:rFonts w:ascii="Times New Roman" w:hAnsi="Times New Roman"/>
          <w:sz w:val="20"/>
        </w:rPr>
        <w:t xml:space="preserve">Further, state regulators may conclude that the digital assets we hold are securities under state laws, requiring us to comply with state-specific securities regulations. States like California have stricter definitions of “investment contracts” than the SEC, increasing the risk of additional regulatory scrutiny.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emergence or growth of other digital assets, including those with significant private or public sector backing, could have a negative impact on the price of cryptocurrencies we hold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emergence or growth of digital assets other than cryptocurrencies we may hold could have a material adverse effect on our financial condition. There are numerous alternative digital assets and many entities, including consortia and financial institutions, are researching and investing resources into private or permissioned blockchain platforms or digital assets. For example, some cryptocurrency networks utilize proof-of-work mining. Others use a “proof-of-stake” mechanism for validating transactions that requires significantly less computing power than proof-of-work mining. If the mechanisms for validating transactions in alternative digital assets are perceived as superior to the mechanisms used by the digital assets in which we invest, those digital assets could gain market share. </w:t>
      </w:r>
    </w:p>
    <w:p>
      <w:pPr>
        <w:pStyle w:val="TextBody"/>
        <w:bidi w:val="0"/>
        <w:spacing w:before="240" w:after="0"/>
        <w:jc w:val="left"/>
        <w:rPr>
          <w:rFonts w:ascii="Times New Roman" w:hAnsi="Times New Roman"/>
          <w:sz w:val="20"/>
        </w:rPr>
      </w:pPr>
      <w:r>
        <w:rPr>
          <w:rFonts w:ascii="Times New Roman" w:hAnsi="Times New Roman"/>
          <w:sz w:val="20"/>
        </w:rPr>
        <w:t xml:space="preserve">Other alternative digital assets could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other digital assets as a medium of exchange and store of value, particularly on digital asset trading platforms.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central banks in some countries have started to introduce digital forms of legal tender. For example, China’s Central Bank Digital Currency (“CBDC”) project was made available to consumers in January 2022, and governments including the United States, the United Kingdom, the European Union, and Israel have discussed the potential creation of new CBDCs. Whether or not they incorporate blockchain or similar technology, CBDCs, as legal tender in the issuing jurisdiction, could also compete with, or replace, other digital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as a medium of exchange or store of value. As a result, the emergence or growth of these or other digital assets could cause the market price of cryptocurrencies we hold to decrease,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lack of legal recourse and insurance for digital assets increases the risk of total loss in the event of theft or destruction. </w:t>
      </w:r>
    </w:p>
    <w:p>
      <w:pPr>
        <w:pStyle w:val="TextBody"/>
        <w:bidi w:val="0"/>
        <w:spacing w:before="120" w:after="0"/>
        <w:jc w:val="left"/>
        <w:rPr>
          <w:rFonts w:ascii="Times New Roman" w:hAnsi="Times New Roman"/>
          <w:sz w:val="20"/>
        </w:rPr>
      </w:pPr>
      <w:r>
        <w:rPr>
          <w:rFonts w:ascii="Times New Roman" w:hAnsi="Times New Roman"/>
          <w:sz w:val="20"/>
        </w:rPr>
        <w:t xml:space="preserve">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irreversibility of digital asset transactions exposes us to risks of theft, loss and human error,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Digital asset transactions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 </w:t>
      </w:r>
    </w:p>
    <w:p>
      <w:pPr>
        <w:pStyle w:val="TextBody"/>
        <w:bidi w:val="0"/>
        <w:spacing w:before="240" w:after="0"/>
        <w:jc w:val="left"/>
        <w:rPr>
          <w:rFonts w:ascii="Times New Roman" w:hAnsi="Times New Roman"/>
          <w:sz w:val="20"/>
        </w:rPr>
      </w:pPr>
      <w:r>
        <w:rPr>
          <w:rFonts w:ascii="Times New Roman" w:hAnsi="Times New Roman"/>
          <w:sz w:val="20"/>
        </w:rPr>
        <w:t xml:space="preserve">Although we plan to regularly transfer digital assets to or from vendors, consultants and services providers, it is possible that, through computer or human error, or through theft or criminal action, such assets could be transferred in incorrect amounts or to unauthorized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are unable to seek a corrective transaction to identify the third party which has received our digital assets through error or theft, we will be unable to revert or otherwise recover the impacted digital assets, and any such loss could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the accounting treatment of cryptocurrency holdings could have significant accounting impacts, including increasing the volatility of our results.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2023-08, which upon our adoption will require us to measure in-scope cryptocurrency assets at fair value in our statement of financial position, and to recognize gains and losses from changes in the fair value of our cryptocurrency in net income each reporting period. ASU 2023-08 will also require us to provide certain interim and annual disclosures with respect to our cryptocurrency holdings. The standard is effective for our interim and annual periods beginning January 1, 2025, with a cumulative-effect adjustment to the opening balance of retained earnings as of the beginning of the annual reporting period in which we adopt the guidance. Due in particular to the volatility in the price of cryptocurrencies, we expect the adoption of ASU 2023-08 to have a material impact on our financial results in future periods, increase the volatility of our financial results, and affect the carrying value of our cryptocurrency on our balance sheet, and it could also have adverse tax consequences, which in turn could have a material adverse effect on our financial results and the market price of our common stock. Additionally, as a result of ASU 2023-08 requiring a cumulative-effect adjustment to our opening balance of retained earnings as of the beginning of the annual period in which we adopt the guidance and not permitting retrospective restatement of our historical financial statements, our future results will not be comparable to results from periods prior to our adoption of the guidance. </w:t>
      </w:r>
    </w:p>
    <w:p>
      <w:pPr>
        <w:pStyle w:val="TextBody"/>
        <w:bidi w:val="0"/>
        <w:spacing w:before="240" w:after="0"/>
        <w:jc w:val="left"/>
        <w:rPr>
          <w:rFonts w:ascii="Times New Roman" w:hAnsi="Times New Roman"/>
          <w:sz w:val="20"/>
        </w:rPr>
      </w:pPr>
      <w:r>
        <w:rPr>
          <w:rFonts w:ascii="Times New Roman" w:hAnsi="Times New Roman"/>
          <w:sz w:val="20"/>
        </w:rPr>
        <w:t xml:space="preserve">The broader digital assets industry, including the technology associated with digital assets, the rate of adoption and development of, and use cases for, digital assets, market perception of digital assets, and the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and accounting treatment of digital assets are constantly developing and changing, and there may be additional risks in the future that are not possible to predict. </w:t>
      </w:r>
    </w:p>
    <w:p>
      <w:pPr>
        <w:pStyle w:val="TextBody"/>
        <w:bidi w:val="0"/>
        <w:spacing w:before="240" w:after="0"/>
        <w:jc w:val="left"/>
        <w:rPr>
          <w:rFonts w:ascii="Times New Roman" w:hAnsi="Times New Roman"/>
          <w:sz w:val="20"/>
        </w:rPr>
      </w:pPr>
      <w:r>
        <w:rPr>
          <w:rFonts w:ascii="Times New Roman" w:hAnsi="Times New Roman"/>
          <w:sz w:val="20"/>
        </w:rPr>
        <w:t xml:space="preserve">Changes in our ownership of cryptocurrency could have accounting, regulatory and other impacts, as well. While we currently intend to primarily own cryptocurrency directly, we may investigate other potential approaches to owning cryptocurrencies, including indirect ownership (for example, through ownership interests in a fund that owns cryptocurrencies and deemed ownership via ownership of cryptocurrency derivative assets). If we were to own all or a portion of our cryptocurrencies in a different manner, the accounting treatment for our cryptocurrencies, our ability to use our cryptocurrencies as collateral for additional borrowings, and the regulatory requirements to which we are subject, may correspondingly change. For example, the volatile nature of cryptocurrencies may force us to liquidate our holdings to use it as collateral, which could be negatively impacted by any disruptions in the cryptocurrency market, and if liquidated, the value of the collateral would not reflect potential gains in market value of our cryptocurrency.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Cryptocurrency holdings are less liquid than our existing cash and cash equivalents and may not be able to serve as a source of liquidity for us to the same extent as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cryptocurrency at favorable prices or at all. Further, cryptocurrency which we hold with our custodians does not enjoy the same protections as are available to cash or securities deposited with or transacted by institutions subject to regulation by the Federal Deposit Insurance Corporation or the Securities Investor Protection Corporation. If we are unable to sell our cryptocurrency, enter into additional capital raising transactions using cryptocurrency as collateral, or otherwise generate funds using our cryptocurrency holdings, or if we are forced to sell our cryptocurrency at a significant loss, in order to meet our working capital requirements, our business and financial condition could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not subject to legal and regulatory obligations that apply to investment companies such as mutual funds and exchange-traded funds, or to obligations applicable to investment advisers. </w:t>
      </w:r>
    </w:p>
    <w:p>
      <w:pPr>
        <w:pStyle w:val="TextBody"/>
        <w:bidi w:val="0"/>
        <w:spacing w:before="120" w:after="0"/>
        <w:jc w:val="left"/>
        <w:rPr>
          <w:rFonts w:ascii="Times New Roman" w:hAnsi="Times New Roman"/>
          <w:sz w:val="20"/>
        </w:rPr>
      </w:pPr>
      <w:r>
        <w:rPr>
          <w:rFonts w:ascii="Times New Roman" w:hAnsi="Times New Roman"/>
          <w:sz w:val="20"/>
        </w:rPr>
        <w:t xml:space="preserve">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our changes to our digital asset strategy, our use of leverage, our ability to engage in transactions with affiliated parties and our operating and investment activities generally are not subject to the extensive legal and regulatory requirements and prohibitions that apply to investment companies and investment advisers.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Cryptocurrencies do not pay interest or dividends. </w:t>
      </w:r>
    </w:p>
    <w:p>
      <w:pPr>
        <w:pStyle w:val="TextBody"/>
        <w:bidi w:val="0"/>
        <w:spacing w:before="120" w:after="0"/>
        <w:jc w:val="left"/>
        <w:rPr>
          <w:rFonts w:ascii="Times New Roman" w:hAnsi="Times New Roman"/>
          <w:sz w:val="20"/>
        </w:rPr>
      </w:pPr>
      <w:r>
        <w:rPr>
          <w:rFonts w:ascii="Times New Roman" w:hAnsi="Times New Roman"/>
          <w:sz w:val="20"/>
        </w:rPr>
        <w:t xml:space="preserve">Cryptocurrencies do not pay interest or other returns and we will only generate cash from our cryptocurrency holdings if we sell our cryptocurrency or implement strategies to create income streams or otherwise generate cash by using our cryptocurrency holdings. Even if we pursue any such strategies, we may be unable to create income streams or otherwise generate cash from our cryptocurrency holdings, and any such strategies may subject us to additional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or our third-party service providers experience a security breach or cyberattack and unauthorized parties obtain access to our cryptocurrency, or if our private keys are lost or destroyed, or other similar circumstances or events occur, we may lose some or all of our cryptocurrency and our financial condition and results of operations could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Security breaches and cyberattacks are of particular concern with respect to cryptocurrency. Blockchain-based cryptocurrencies and the entities that provide services to participants in the cryptocurrency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partial or total loss of our cryptocurrency in a manner that may not be covered by insurance or the liability provisions of the custody agreements with the custodians who hold our cryptocurrency;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harm to our reputation and brand;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improper disclosure of data and violations of applicable data privacy and other laws;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regulatory scrutiny, investigations, fines, penalties, and other legal, regulatory, contractual and financial exposure.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any actual or perceived data security breach or cybersecurity attack directed at other companies with digital assets or companies that operate digital asset networks, regardless of whether we are directly impacted, could lead to a general loss of confidence in the broader cryptocurrency ecosystem or in the use of the cryptocurrency network to conduct financial transactions, which could negatively impact us. </w:t>
      </w:r>
    </w:p>
    <w:p>
      <w:pPr>
        <w:pStyle w:val="TextBody"/>
        <w:bidi w:val="0"/>
        <w:spacing w:before="240" w:after="0"/>
        <w:jc w:val="left"/>
        <w:rPr>
          <w:rFonts w:ascii="Times New Roman" w:hAnsi="Times New Roman"/>
          <w:sz w:val="20"/>
        </w:rPr>
      </w:pPr>
      <w:r>
        <w:rPr>
          <w:rFonts w:ascii="Times New Roman" w:hAnsi="Times New Roman"/>
          <w:sz w:val="20"/>
        </w:rPr>
        <w:t xml:space="preserve">Attacks upon systems across a variety of industries, including industries related to cryptocurrency,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w:t>
      </w:r>
    </w:p>
    <w:p>
      <w:pPr>
        <w:pStyle w:val="TextBody"/>
        <w:bidi w:val="0"/>
        <w:spacing w:before="240" w:after="0"/>
        <w:jc w:val="left"/>
        <w:rPr>
          <w:rFonts w:ascii="Times New Roman" w:hAnsi="Times New Roman"/>
          <w:sz w:val="20"/>
        </w:rPr>
      </w:pPr>
      <w:r>
        <w:rPr>
          <w:rFonts w:ascii="Times New Roman" w:hAnsi="Times New Roman"/>
          <w:sz w:val="20"/>
        </w:rPr>
        <w:t xml:space="preserve">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Israel-Hamas and Israel-Iran conflicts, or other future conflicts, including potential proliferation of malware into systems unrelated to such conflicts. Any future breach of our operations or those of others in the cryptocurrency industry, including third-party services on which we rely, could materially and adversely affect our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custodially-held cryptocurrencies may become part of the custodian’s insolvency estate if one or more of our custodians enters bankruptcy, receivership or similar insolvency proceedings. </w:t>
      </w:r>
    </w:p>
    <w:p>
      <w:pPr>
        <w:pStyle w:val="TextBody"/>
        <w:bidi w:val="0"/>
        <w:spacing w:before="120" w:after="0"/>
        <w:jc w:val="left"/>
        <w:rPr>
          <w:rFonts w:ascii="Times New Roman" w:hAnsi="Times New Roman"/>
          <w:sz w:val="20"/>
        </w:rPr>
      </w:pPr>
      <w:r>
        <w:rPr>
          <w:rFonts w:ascii="Times New Roman" w:hAnsi="Times New Roman"/>
          <w:sz w:val="20"/>
        </w:rPr>
        <w:t xml:space="preserve">Initially, we plan to hold all of our cryptocurrency in custody accounts at either a U.S.-based, institutional-grade custodian that has demonstrated a record of regulatory compliance and information security or offshore third party managed custody accounts, which the Company will control. As we further execute on our strategy, we may expand our holdings to multiple similar custodians. </w:t>
      </w:r>
    </w:p>
    <w:p>
      <w:pPr>
        <w:pStyle w:val="TextBody"/>
        <w:bidi w:val="0"/>
        <w:spacing w:before="240" w:after="0"/>
        <w:jc w:val="left"/>
        <w:rPr>
          <w:rFonts w:ascii="Times New Roman" w:hAnsi="Times New Roman"/>
          <w:sz w:val="20"/>
        </w:rPr>
      </w:pPr>
      <w:r>
        <w:rPr>
          <w:rFonts w:ascii="Times New Roman" w:hAnsi="Times New Roman"/>
          <w:sz w:val="20"/>
        </w:rPr>
        <w:t xml:space="preserve">If our custodially-held cryptocurrencies are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cryptocurrencies and this may ultimately result in the loss of the value related to some or all of such assets.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and the filing and subsequent settlement of a civil fraud lawsuit have highlighted the counterparty risks applicable to owning and transacting in digital assets. These bankruptcies, closures, liquidations and other events have likely negatively impacted the adoption rate and use of cryptocurrencies. Additional bankruptcies, closures, liquidations, regulatory enforcement actions or other events involving participants in the digital assets industry in the future may further negatively impact the adoption rate, price, and use of cryptocurrencies, limit the availability to us of financing collateralized by such assets, or create or expose additional counterparty risks. Any loss associated with such insolvency proceedings is unlikely to be covered by any insurance coverage we maintain related to our cryptocurrencies. Even if we are able to prevent our cryptocurrencies from being considered the property of a custodian’s bankruptcy estate as part of an insolvency proceeding, it is possible that we would still be delayed or may otherwise experience difficulty in accessing our cryptocurrencies held by the affected custodian during the pendency of the insolvency proceedings. Any such outcome could have a material adverse effect on our financial condition and the market price of our listed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MARKET INFORMATION FOR SECURITIES AND DIVIDEND POLICY </w:t>
      </w:r>
    </w:p>
    <w:p>
      <w:pPr>
        <w:pStyle w:val="TextBody"/>
        <w:bidi w:val="0"/>
        <w:spacing w:before="240" w:after="0"/>
        <w:jc w:val="left"/>
        <w:rPr>
          <w:rFonts w:ascii="Times New Roman" w:hAnsi="Times New Roman"/>
          <w:b/>
          <w:sz w:val="20"/>
        </w:rPr>
      </w:pPr>
      <w:r>
        <w:rPr>
          <w:rFonts w:ascii="Times New Roman" w:hAnsi="Times New Roman"/>
          <w:b/>
          <w:sz w:val="20"/>
        </w:rPr>
        <w:t xml:space="preserve">Market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Public Warrants are currently traded on the Pink Limited Market of the OTC Markets under the symbols “SMNR” and “SMNRW,” respectively. Prior to the consummation of the Business Combination, Denali’s Ordinary Shares, units and warrants were each traded on the OTC Markets under the symbols “DNQUF,” “DNQAF” and “DNQWF,” respectively. At the Effective Time, without any action on the part of the holder, each Unit then outstanding separated automatically into its component securities, comprised of one share of Common Stock and one warrant to purchase one share of Common Stock. As of November 28, 2025, there were 16 holders of record of our Common Stock and 1 holder of record of our Public Warrants, which amount does not include participants of The Depository Trust Company or beneficial owners holding shares through nominee names.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any dividend on shares of our Common Stock. We anticipate that we will retain all of our future earnings, if any, to fund the development and growth of our business. Any future determination to pay dividends on our capital stock will be at the discretion of our Board. It is the present intention of our Board to retain all earnings, if any, for use in our business operations and, accordingly, our Board does not anticipate declaring any dividend in the foreseeable future. Should we decide in the future to do so, as a holding company, our ability to pay dividends on our capital stock and meet other obligations depends upon the receipt of dividends or other payments from our operating subsidiaries, including Legacy Semnur. Further, our ability to pay dividends may be limited by covenants of any existing and future outstanding indebtedness we or our subsidiaries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6356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proceeds from the sale of the Resale Shares or the Private Warrants by the Selling Securityholders. The Selling Securityholders will pay any underwriting discounts, selling commissions or transfer taxes incurred in disposing of the Resale Shares and the expenses of any attorney or other advisor they decide to employ. We will bear all other costs, fees and expenses incurred in effecting the registration of the Resale Shares and the Warrants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up to an aggregate of approximately $100.7 million from the exercise of the Warrants, assuming the exercise in full of all of the Warrants for cash, but will not receive any proceeds from the sale of the shares of our Common Stock issuable upon such exercise. We expect to use the proceeds from the exercise of the Warrants for cash for working capital and general corporate purposes, which may include capital expenditures, commercial, research and development expenditures, regulatory affairs expenditures, clinical trial expenditures, acquisitions of new technologies and investments, business combinations and the repayment, refinancing, redemption or repurchase of indebtedness or capital stock. However, we have not designated any specific uses and have no current agreement with respect to any acquisition or strategic transaction. As of the date of this prospectus, we cannot specify with certainty all of the particular uses, and the respective amounts we may allocate to those uses, for any proceeds we receive from the exercise of the Warrants. Accordingly, we will retain broad discretion over the use of these proceeds. Pending our use of the proceeds as described above, we intend to invest such proceeds in interest-bearing instruments. There is no assurance that the holders of the Warrants will elect to exercise any or all of such Warrants. To the extent that the Warrants are exercised on a “cashless basis,” the amount of cash we would receive from the exercise of the Warrants will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63562_8"/>
      <w:bookmarkEnd w:id="10"/>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certain material U.S. federal income tax considerations generally applicable to the purchase, ownership and disposition of our Common Stock and Warrants, which we refer to collectively as our “securities.” 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consequences relating to the purchase, ownership and disposition of our securities. In addition, this discussion does not address all aspects of U.S. federal income tax consequences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(such as the gift or estate tax), nor does it address any tax consequences arising under any U.S. state, local or non-U.S. tax laws. Holders should consult their own tax advisors regarding such tax consequences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No ruling has been requested or will be obtained from the IRS with respect to the U.S. federal income tax consequences to a holder of the purchase, ownership or disposition of our securities; thus, there can be no assurance that the IRS will not challenge the U.S. federal income tax treatment described below or that, if challenged, such treatment will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limited to considerations relevant to holders that hold our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underwriters, or insurance companies;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who elect to apply a mark-to-market method of accounting;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qualified retirement plans, individual retirement accounts, or other tax-deferred accounts;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long-term residents of the United States;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subchapter S corporations, partnerships or other pass-through entities or investors or beneficial owners in such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commodities or currencies; </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75"/>
        <w:gridCol w:w="110"/>
        <w:gridCol w:w="60"/>
        <w:gridCol w:w="1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grantor trusts;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U.S. dollar;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75"/>
        <w:gridCol w:w="110"/>
        <w:gridCol w:w="60"/>
        <w:gridCol w:w="8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accrual method taxpayers that file applicable financial statements as described in Section 451(b)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received our securities through the issuance of restricted stock under an equity incentive plan or through a tax-qualified retirement plan or otherwise as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or through attribution) 5% or more (by vote or value) of the outstanding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securities as a position in a “straddle,” as part of a “synthetic security” or “hedge,” as part of a “conversion transaction,” “constructive sale” or other integrated investment or risk reduction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qualified foreign pension funds” (within the meaning of Section 897(l)(2) of the Code and entities whose interests are held by qualified foreign pension funds;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foreign corporations with respect to which there are one or more United States shareholders within the meaning of Treasury Regulation Section 1.367(b)-3(b)(1)(ii).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used in this discussion, the term “U.S. Holder” means a beneficial owner of our securities that is, for U.S. federal income tax purposes: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that is classified as a corporation for U.S. federal income tax purposes) that is created or organized in or under the laws of the United States or any State thereof or the District of Columbia;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securities, that is neither a U.S. Holder nor a partnership (nor an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or arrangement that is treated as a partnership for U.S. federal income tax purposes, holds our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the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(such as gift and estate taxes) other than income taxes.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DOES NOT PURPORT TO BE A COMPREHENSIVE ANALYSIS OR DESCRIPTION OF ALL POTENTIAL U.S. FEDERAL INCOME TAX CONSEQUENCES OF THE OWNERSHIP AND DISPOSITION OF OUR SECURITIES. IN ADDITION, THE U.S. FEDERAL INCOME TAX TREATMENT OF THE BENEFICIAL OWNERS OF OUR SECURITIES MAY BE AFFECTED BY MATTERS NOT DISCUSSED HEREIN AND DEPENDS IN SOME INSTANCES ON DETERMINATIONS OF FACT AND INTERPRETATIONS OF COMPLEX PROVISIONS OF U.S. FEDERAL INCOME TAX LAW FOR WHICH NO CLEAR PRECEDENT OR AUTHORITY MAY BE AVAILABLE. HOLDERS OF OUR SECURITIES SHOULD CONSULT WITH THEIR TAX ADVISORS REGARDING THE PARTICULAR TAX CONSEQUENCES TO THEM OF THE OWNERSHIP AND DISPOSITION OF OUR SECURITIES INCLUDING THE APPLICABILITY AND EFFECTS OF U.S. FEDERAL, STATE, LOCAL, AND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hAnsi="Times New Roman"/>
          <w:i/>
          <w:sz w:val="20"/>
        </w:rPr>
        <w:t>U.S. Holders — Gain or Loss on Sale, Taxable Exchange or Other Taxable Disposition of Common Stock</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preferential tax rate accorded to long-term capital gains.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applicable to qualified dividends. In addition, the rate reduction will not apply to dividends if the recipient of a dividend is obligated to make related payments with respect to positions in substantially similar or related property. This latter disallowance applies even if the minimum holding period has been met. </w:t>
      </w:r>
    </w:p>
    <w:p>
      <w:pPr>
        <w:pStyle w:val="TextBody"/>
        <w:bidi w:val="0"/>
        <w:spacing w:before="240" w:after="0"/>
        <w:jc w:val="left"/>
        <w:rPr>
          <w:rFonts w:ascii="Times New Roman" w:hAnsi="Times New Roman"/>
          <w:sz w:val="20"/>
        </w:rPr>
      </w:pPr>
      <w:r>
        <w:rPr>
          <w:rFonts w:ascii="Times New Roman" w:hAnsi="Times New Roman"/>
          <w:sz w:val="20"/>
        </w:rPr>
        <w:t xml:space="preserve">If the respective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sale, taxable exchange or other taxable disposition of our Common Stock, including on a redemption that is treated as a sale or exchange under Section 302 of the Code. In the case of a redemption, such redemption generally will be treated as a sale or exchange of the Common Stock (rather than as a corporate distribution) if the redemption (i) is “substantially disproportionate” with respect to the U.S. Holder, (ii) results in a “complete termination” of the U.S. Holder’s interest or (iii) is “not essentially equivalent to a dividend” with respect to the U.S. Holder. The redemption of our Common Stock will not be essentially equivalent to a dividend if it results in a “meaningful reduction” of such U.S. Holder’s proportionate interest in us. Whether the redemption will result in a meaningful reduction in a U.S. Holder’s proportionate interest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 </w:t>
      </w:r>
    </w:p>
    <w:p>
      <w:pPr>
        <w:pStyle w:val="TextBody"/>
        <w:bidi w:val="0"/>
        <w:spacing w:before="240" w:after="0"/>
        <w:jc w:val="left"/>
        <w:rPr>
          <w:rFonts w:ascii="Times New Roman" w:hAnsi="Times New Roman"/>
          <w:sz w:val="20"/>
        </w:rPr>
      </w:pPr>
      <w:r>
        <w:rPr>
          <w:rFonts w:ascii="Times New Roman" w:hAnsi="Times New Roman"/>
          <w:sz w:val="20"/>
        </w:rPr>
        <w:t xml:space="preserve">Any such gain or loss recognized on the sale, taxable exchange or other taxable disposition of our Common Stock, including on a redemption as described above,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equal the U.S. Holder’s acquisition cost for such Common Stock (or, in the case of Common Stock received upon exercise of a Warrant, the U.S. Holder’s initial basis for such Common Stock, as discussed below under “Exercise of a Warrant”), less any prior distributions treated as a return of capital.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 Any gain or loss recognized by a U.S. Holder on the sale or exchange of our Common Stock will generally be treated as U.S. source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a Warrant </w:t>
      </w:r>
    </w:p>
    <w:p>
      <w:pPr>
        <w:pStyle w:val="TextBody"/>
        <w:bidi w:val="0"/>
        <w:spacing w:before="120" w:after="0"/>
        <w:jc w:val="left"/>
        <w:rPr>
          <w:rFonts w:ascii="Times New Roman" w:hAnsi="Times New Roman"/>
          <w:sz w:val="20"/>
        </w:rPr>
      </w:pPr>
      <w:r>
        <w:rPr>
          <w:rFonts w:ascii="Times New Roman" w:hAnsi="Times New Roman"/>
          <w:sz w:val="20"/>
        </w:rPr>
        <w:t xml:space="preserve">Except as discussed below (with respect to the cashless exercise of a Warrant), a U.S. Holder generally will not recognize taxable gain or loss upon the exercise of a Warrant for cash. The U.S. Holder’s initial tax basis in the share of our Common Stock received upon exercise of the Warrant will generally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Common Stock received generally should equal the holder’s adjusted tax basis in the Warrant. If the cashless exercise were treated as not being a realization event, it is unclear whether a U.S. Holder’s holding period for the Common Stock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Common Stock generally would include the holding period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surrendered Warrants. In this case, a U.S. Holder’s initial tax basis in the Common Stock received would equal the sum of the exercise price and the U.S. holder’s adjusted tax basis in the Warrants exercised. It is unclear whether a U.S. Holder’s holding period for the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Common Stock received, U.S. Holders are urged to consult their tax advisors regarding the tax consequences of a cashless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Expiration of a Warrant </w:t>
      </w:r>
    </w:p>
    <w:p>
      <w:pPr>
        <w:pStyle w:val="TextBody"/>
        <w:bidi w:val="0"/>
        <w:spacing w:before="120" w:after="0"/>
        <w:jc w:val="left"/>
        <w:rPr>
          <w:rFonts w:ascii="Times New Roman" w:hAnsi="Times New Roman"/>
          <w:sz w:val="20"/>
        </w:rPr>
      </w:pPr>
      <w:r>
        <w:rPr>
          <w:rFonts w:ascii="Times New Roman" w:hAnsi="Times New Roman"/>
          <w:sz w:val="20"/>
        </w:rPr>
        <w:t xml:space="preserve">Upon a sale, exchange (other than by exercise), redemption (other than a redemption for Common Stock),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U.S. Holder (as described below under “</w:t>
      </w:r>
      <w:r>
        <w:rPr>
          <w:rFonts w:ascii="Times New Roman" w:hAnsi="Times New Roman"/>
          <w:i/>
          <w:sz w:val="20"/>
        </w:rPr>
        <w:t>U.S. Holders — Possible Constructive Distributions</w:t>
      </w:r>
      <w:r>
        <w:rPr>
          <w:rFonts w:ascii="Times New Roman" w:hAnsi="Times New Roman"/>
          <w:sz w:val="20"/>
        </w:rPr>
        <w:t xml:space="preserve">”).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A redemption of Warrants for Common Stock described in this prospectus under “</w:t>
      </w:r>
      <w:r>
        <w:rPr>
          <w:rFonts w:ascii="Times New Roman" w:hAnsi="Times New Roman"/>
          <w:i/>
          <w:sz w:val="20"/>
        </w:rPr>
        <w:t>Description of Securities — Warrants</w:t>
      </w:r>
      <w:r>
        <w:rPr>
          <w:rFonts w:ascii="Times New Roman" w:hAnsi="Times New Roman"/>
          <w:sz w:val="20"/>
        </w:rPr>
        <w:t xml:space="preserve">” should be treated as a “recapitalization” for U.S. federal income tax purposes. Accordingly, a U.S. Holder should not recognize any gain or loss on the redemption of Warrants for shares of our Common Stock. A U.S. Holder’s aggregate initial tax basis in the shares of Common Stock received in the redemption should equal such U.S. Holder’s aggregate adjusted tax basis in the Warrants redeemed and the holding period for the shares of Common Stock received in redemption of the Warrants should include the holding period for the surrendered Warrants. However, there is some uncertainty regarding this tax treatment and, accordingly, U.S. Holders should consult their tax advisors regarding the tax consequences of a redemption of Warrants for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bidi w:val="0"/>
        <w:spacing w:before="120" w:after="0"/>
        <w:jc w:val="left"/>
        <w:rPr>
          <w:rFonts w:ascii="Times New Roman" w:hAnsi="Times New Roman"/>
          <w:sz w:val="20"/>
        </w:rPr>
      </w:pP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prospectus titled “</w:t>
      </w:r>
      <w:r>
        <w:rPr>
          <w:rFonts w:ascii="Times New Roman" w:hAnsi="Times New Roman"/>
          <w:i/>
          <w:sz w:val="20"/>
        </w:rPr>
        <w:t>Description of Securities — Warrants</w:t>
      </w:r>
      <w:r>
        <w:rPr>
          <w:rFonts w:ascii="Times New Roman" w:hAnsi="Times New Roman"/>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to the exercise price) as a result of a distribution of cash to the holders of shares of our Common Stock which is taxable to such holders as a distribution. Such constructive distribution would be subject to tax as described above under “</w:t>
      </w:r>
      <w:r>
        <w:rPr>
          <w:rFonts w:ascii="Times New Roman" w:hAnsi="Times New Roman"/>
          <w:i/>
          <w:sz w:val="20"/>
        </w:rPr>
        <w:t>U.S. Holders — Taxation of Distributions</w:t>
      </w:r>
      <w:r>
        <w:rPr>
          <w:rFonts w:ascii="Times New Roman" w:hAnsi="Times New Roman"/>
          <w:sz w:val="20"/>
        </w:rPr>
        <w:t xml:space="preserve">” in the same manner as if such U.S. Holder received a cash distribution from us on Common Stock equal to the fair market value of such increased interest. </w:t>
      </w:r>
    </w:p>
    <w:p>
      <w:pPr>
        <w:pStyle w:val="TextBody"/>
        <w:bidi w:val="0"/>
        <w:spacing w:before="360" w:after="0"/>
        <w:jc w:val="left"/>
        <w:rPr>
          <w:rFonts w:ascii="Times New Roman" w:hAnsi="Times New Roman"/>
          <w:sz w:val="20"/>
        </w:rPr>
      </w:pPr>
      <w:r>
        <w:rPr>
          <w:rFonts w:ascii="Times New Roman" w:hAnsi="Times New Roman"/>
          <w:b/>
          <w:i/>
          <w:sz w:val="20"/>
        </w:rPr>
        <w:t>Information Reporting and Backup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requirements may apply to dividends paid to a U.S. Holder and to the proceeds of the sale or other disposition of our shares of Common Stock and Warrants unless the U.S. Holder is an exempt recipient and, if required, demonstrates such status. Backup withholding may apply to such payments if the U.S. Holder fails to provide a taxpayer identification number, a certification of exempt status or has been notified by the IRS that it is subject to backup withholding (and such notification has not been withdrawn). Any amounts withheld under the backup withholding rules generally should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under the same rules as described above under “</w:t>
      </w:r>
      <w:r>
        <w:rPr>
          <w:rFonts w:ascii="Times New Roman" w:hAnsi="Times New Roman"/>
          <w:i/>
          <w:sz w:val="20"/>
        </w:rPr>
        <w:t>U.S. Holders — Taxation of Distributions</w:t>
      </w:r>
      <w:r>
        <w:rPr>
          <w:rFonts w:ascii="Times New Roman" w:hAnsi="Times New Roman"/>
          <w:sz w:val="20"/>
        </w:rPr>
        <w:t>” and “</w:t>
      </w:r>
      <w:r>
        <w:rPr>
          <w:rFonts w:ascii="Times New Roman" w:hAnsi="Times New Roman"/>
          <w:i/>
          <w:sz w:val="20"/>
        </w:rPr>
        <w:t>U.S. Holders — Gain or Loss on Sale, Taxable Exchange or Other Taxable Disposition of Common Stock</w:t>
      </w:r>
      <w:r>
        <w:rPr>
          <w:rFonts w:ascii="Times New Roman" w:hAnsi="Times New Roman"/>
          <w:sz w:val="20"/>
        </w:rPr>
        <w:t xml:space="preserve">”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W-8BEN-E, as applicable). Special certification and other requirements apply to certain Non-U.S. Holders that are pass-through entities rather than corporations or individuals. In the case of any constructive dividend (as described below under “</w:t>
      </w:r>
      <w:r>
        <w:rPr>
          <w:rFonts w:ascii="Times New Roman" w:hAnsi="Times New Roman"/>
          <w:i/>
          <w:sz w:val="20"/>
        </w:rPr>
        <w:t>Non-U.S. Holders — Possible Constructive Distributions</w:t>
      </w:r>
      <w:r>
        <w:rPr>
          <w:rFonts w:ascii="Times New Roman" w:hAnsi="Times New Roman"/>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hAnsi="Times New Roman"/>
          <w:i/>
          <w:sz w:val="20"/>
        </w:rPr>
        <w:t>Non-U.S. Holders — Gain on Sale, Taxable Exchange or Other Taxable Disposition of Common Stock and Warrants</w:t>
      </w:r>
      <w:r>
        <w:rPr>
          <w:rFonts w:ascii="Times New Roman" w:hAnsi="Times New Roman"/>
          <w:sz w:val="20"/>
        </w:rPr>
        <w:t>” below. In addition, if we determine that we are likely to be classified as a “United States real property holding corporation” (subject to the third bullet below in “</w:t>
      </w:r>
      <w:r>
        <w:rPr>
          <w:rFonts w:ascii="Times New Roman" w:hAnsi="Times New Roman"/>
          <w:i/>
          <w:sz w:val="20"/>
        </w:rPr>
        <w:t>Non-U.S. Holders — Gain or Loss on Sale, Taxable Exchange or Other Taxable Disposition of Common Stock and Warrants</w:t>
      </w:r>
      <w:r>
        <w:rPr>
          <w:rFonts w:ascii="Times New Roman" w:hAnsi="Times New Roman"/>
          <w:sz w:val="20"/>
        </w:rPr>
        <w:t xml:space="preserve">” below), we will withhold 15% of any distribution that exceeds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(provided a timely tax return is properly filed by such Non-U.S. Holder),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a Warrant </w:t>
      </w:r>
    </w:p>
    <w:p>
      <w:pPr>
        <w:pStyle w:val="TextBody"/>
        <w:bidi w:val="0"/>
        <w:spacing w:before="120" w:after="0"/>
        <w:jc w:val="left"/>
        <w:rPr>
          <w:rFonts w:ascii="Times New Roman" w:hAnsi="Times New Roman"/>
          <w:sz w:val="20"/>
        </w:rPr>
      </w:pPr>
      <w:r>
        <w:rPr>
          <w:rFonts w:ascii="Times New Roman" w:hAnsi="Times New Roman"/>
          <w:sz w:val="20"/>
        </w:rPr>
        <w:t>The U.S. federal income tax treatment of a Non-U.S. Holder’s exercise of a Warrant will generally correspond to the U.S. federal income tax treatment of the exercise of a Warrant by a U.S. Holder, as described under “</w:t>
      </w:r>
      <w:r>
        <w:rPr>
          <w:rFonts w:ascii="Times New Roman" w:hAnsi="Times New Roman"/>
          <w:i/>
          <w:sz w:val="20"/>
        </w:rPr>
        <w:t>U.S. Holders — Exercise of a Warrant</w:t>
      </w:r>
      <w:r>
        <w:rPr>
          <w:rFonts w:ascii="Times New Roman" w:hAnsi="Times New Roman"/>
          <w:sz w:val="20"/>
        </w:rPr>
        <w:t>” above, although to the extent a cashless exercise results in a taxable exchange, the tax consequences to the Non-U.S. Holder would be the same as those described below in “</w:t>
      </w:r>
      <w:r>
        <w:rPr>
          <w:rFonts w:ascii="Times New Roman" w:hAnsi="Times New Roman"/>
          <w:i/>
          <w:sz w:val="20"/>
        </w:rPr>
        <w:t>Non-U.S. Holders — Gain on Sale, Exchange or Other Taxable Disposition of Common Stock and Warrants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Sale, Taxable Exchange or Other Taxable Disposition of Common Stock and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will not be subject to U.S. federal income or withholding tax in respect of gain recognized on a sale, taxable exchange or other taxable disposition of our Common Stock or Warrants or an expiration or redemption of our Warrants,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by the Non-U.S. Holder within the United States (and, if an applicable tax treaty so requires, is attributable to a U.S. permanent establishment or fixed base maintained by the Non-U.S.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disposition and certain other conditions are met;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These rules may be modified as applied to the Warrants. There can be no assurance that our Common Stock will be treated as regularly traded on an established securities market for this purpose.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described in the first bullet point above will be subject to tax at generally applicable U.S. federal income tax rates as if the Non-U.S. Holder were a U.S. resident (provided that any deductions will only be available if a timely tax return is properly filed by such Non-U.S. Holder).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 </w:t>
      </w:r>
    </w:p>
    <w:p>
      <w:pPr>
        <w:pStyle w:val="TextBody"/>
        <w:bidi w:val="0"/>
        <w:spacing w:before="240" w:after="0"/>
        <w:jc w:val="left"/>
        <w:rPr>
          <w:rFonts w:ascii="Times New Roman" w:hAnsi="Times New Roman"/>
          <w:sz w:val="20"/>
        </w:rPr>
      </w:pPr>
      <w:r>
        <w:rPr>
          <w:rFonts w:ascii="Times New Roman" w:hAnsi="Times New Roman"/>
          <w:sz w:val="20"/>
        </w:rPr>
        <w:t xml:space="preserve">If the third bullet point above applies to a Non-U.S. Holder and applicable exceptions are not available, gain recognized by such holder on the sale, exchange or other disposition of our Common Stock or Warrants will be subject to tax at generally applicable U.S. federal income tax rates. In addition, a buyer of our Common Stock or Warrants from such holder may (to the extent the publicly traded exemption to such withholding does not apply) be required to withhold U.S. income tax at a rate of 15% of the amount realized upon such disposition. Non-U.S. Holders are urged to consult their tax advisors regarding the application of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bidi w:val="0"/>
        <w:spacing w:before="120" w:after="0"/>
        <w:jc w:val="left"/>
        <w:rPr>
          <w:rFonts w:ascii="Times New Roman" w:hAnsi="Times New Roman"/>
          <w:sz w:val="20"/>
        </w:rPr>
      </w:pP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prospectus titled “</w:t>
      </w:r>
      <w:r>
        <w:rPr>
          <w:rFonts w:ascii="Times New Roman" w:hAnsi="Times New Roman"/>
          <w:i/>
          <w:sz w:val="20"/>
        </w:rPr>
        <w:t>Description of Securities — Warrants</w:t>
      </w:r>
      <w:r>
        <w:rPr>
          <w:rFonts w:ascii="Times New Roman" w:hAnsi="Times New Roman"/>
          <w:sz w:val="20"/>
        </w:rPr>
        <w:t>”. An adjustment which has the effect of preventing dilution generally should not be a taxable event. Nevertheless, a Non-U.S. Holder of Warrants would be treated as receiving a constructive distribution from us as described above in “</w:t>
      </w:r>
      <w:r>
        <w:rPr>
          <w:rFonts w:ascii="Times New Roman" w:hAnsi="Times New Roman"/>
          <w:i/>
          <w:sz w:val="20"/>
        </w:rPr>
        <w:t>U.S. Holders – Possible Constructive Distributions</w:t>
      </w:r>
      <w:r>
        <w:rPr>
          <w:rFonts w:ascii="Times New Roman" w:hAnsi="Times New Roman"/>
          <w:sz w:val="20"/>
        </w:rPr>
        <w:t>”. A Non-U.S. Holder would be subject to U.S. federal income tax withholding as described above under “</w:t>
      </w:r>
      <w:r>
        <w:rPr>
          <w:rFonts w:ascii="Times New Roman" w:hAnsi="Times New Roman"/>
          <w:i/>
          <w:sz w:val="20"/>
        </w:rPr>
        <w:t>Non-U.S. Holders — Taxation of Distributions</w:t>
      </w:r>
      <w:r>
        <w:rPr>
          <w:rFonts w:ascii="Times New Roman" w:hAnsi="Times New Roman"/>
          <w:sz w:val="20"/>
        </w:rPr>
        <w:t xml:space="preserve">” under that section in the same manner as if such Non-U.S. Holder received a cash distribution from us on Common Stock equal to the fair market value of such increased interest without any corresponding receipt of cash. Any resulting withholding tax may be withheld from future cash distributions.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to 1474 of the Code and the Treasury Regulations and administrative guidance promulgated thereunder (commonly referred to as the “Foreign Account Tax Compliance Act” or “FATCA”) a 30% withholding tax generally applies with respect to certain dividends in respect of and, subject to the proposed Treasury Regulations described below, gross proceeds from a sale or disposition of, securities which are held by or through certain foreign financial institution (including investment funds), unless any such institution (a)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(b)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the applicable foreign country may modify these requirements. Accordingly, the entity through which our securities are held will affect the determination of whether such withholding is required. Similarly, dividends in respect of, and (subject to the proposed Treasury Regulations discussed below) gross proceeds from the sale or other disposition of,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While withholding under FATCA generally would also apply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of gross proceeds from the sale or other disposition of securities (including Common Stock and Warrants),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of dividends and the proceeds from a sale or other disposition of our shares of Common Stock and Warrants. Copies of the information returns reporting such distributions and any withholding may also be made available to the tax authorities in the country in which the Non-U.S. Holder resides under the provisions of an applicable income tax treaty. A Non-U.S. Holder may have to comply with certification procedures to establish that it is not a United States person in order to avoid information reporting and backup withholding requirements. The certification procedures (including on an applicable IRS Form W-8) required to claim a reduced rate of withholding under a treaty will satisfy the certification requirements necessary to avoid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PROSPECTIVE PURCHASER SHOULD CONSULT ITS TAX ADVISOR ABOUT THE TAX CONSEQUENCES OF AN INVESTMENT IN OUR COMMON STOCK AND WARRANTS BASED ON YOUR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63562_10"/>
      <w:bookmarkEnd w:id="11"/>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Semnur’s financial condition and results of operations should be read in conjunction with the consolidated financial statements and related notes thereto included elsewhere in this prospectus.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prospectus, including those set forth in the sections of this prospectus titled “Risk Factors” and “Cautionary Note Regarding Forward-Looking Statements” in this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section to “we,” “our,” “us,” the “Company” and other similar terms refer to Semnur Pharmaceuticals, Inc.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if approved, has the potential to become the first FDA-approved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 </w:t>
      </w:r>
    </w:p>
    <w:p>
      <w:pPr>
        <w:pStyle w:val="TextBody"/>
        <w:bidi w:val="0"/>
        <w:spacing w:before="240" w:after="0"/>
        <w:jc w:val="left"/>
        <w:rPr>
          <w:rFonts w:ascii="Times New Roman" w:hAnsi="Times New Roman"/>
          <w:sz w:val="20"/>
        </w:rPr>
      </w:pPr>
      <w:r>
        <w:rPr>
          <w:rFonts w:ascii="Times New Roman" w:hAnsi="Times New Roman"/>
          <w:sz w:val="20"/>
        </w:rPr>
        <w:t xml:space="preserve">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are developing SP-102 to be an injectable viscous gel formulation of a widely used corticosteroid designed to address the serious risks posed by off-label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 According to a report by Decision Resources Group published in May 2017, it was estimated that over 4.8 million patients would suffer from sciatica in the United States in 2024. </w:t>
      </w:r>
    </w:p>
    <w:p>
      <w:pPr>
        <w:pStyle w:val="TextBody"/>
        <w:bidi w:val="0"/>
        <w:spacing w:before="240" w:after="0"/>
        <w:jc w:val="left"/>
        <w:rPr>
          <w:rFonts w:ascii="Times New Roman" w:hAnsi="Times New Roman"/>
          <w:sz w:val="20"/>
        </w:rPr>
      </w:pPr>
      <w:r>
        <w:rPr>
          <w:rFonts w:ascii="Times New Roman" w:hAnsi="Times New Roman"/>
          <w:sz w:val="20"/>
        </w:rPr>
        <w:t xml:space="preserve">Legacy Semnur was founded in 2013 and we have invested substantial efforts and financial resources on building our intellectual property portfolio and infrastructure. We have conducted PL and toxicology studies, including a Phase 1 PK bridging study, Phase 2 repeat dose study, a pivotal Phase 3 study and the second Phase 3 study initiated in September 2025. We expect to continue to make investments in research and development, clinical trials and regulatory affairs to develop our product candidate, SP-102. </w:t>
      </w:r>
    </w:p>
    <w:p>
      <w:pPr>
        <w:pStyle w:val="TextBody"/>
        <w:bidi w:val="0"/>
        <w:spacing w:before="240" w:after="0"/>
        <w:jc w:val="left"/>
        <w:rPr>
          <w:rFonts w:ascii="Times New Roman" w:hAnsi="Times New Roman"/>
          <w:sz w:val="20"/>
        </w:rPr>
      </w:pPr>
      <w:r>
        <w:rPr>
          <w:rFonts w:ascii="Times New Roman" w:hAnsi="Times New Roman"/>
          <w:sz w:val="20"/>
        </w:rPr>
        <w:t xml:space="preserve">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disability index score while maintaining tolerability comparable to placebo. The Phase 3 study results were published in PAIN®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We initiated a second Phase 3 study in September 2025. </w:t>
      </w:r>
    </w:p>
    <w:p>
      <w:pPr>
        <w:pStyle w:val="TextBody"/>
        <w:bidi w:val="0"/>
        <w:spacing w:before="240" w:after="0"/>
        <w:jc w:val="left"/>
        <w:rPr>
          <w:rFonts w:ascii="Times New Roman" w:hAnsi="Times New Roman"/>
          <w:sz w:val="20"/>
        </w:rPr>
      </w:pPr>
      <w:r>
        <w:rPr>
          <w:rFonts w:ascii="Times New Roman" w:hAnsi="Times New Roman"/>
          <w:sz w:val="2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FDCA for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Since 2019, we have operated as a majority owned subsidiary of Scilex and our financial results have been historically included in Scilex’s consolidated financial results. Our separate financial statements for the periods prior to the period ended September 30, 2025 have been extracted from the accounting records of Scilex. </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significant net losses to date. Our ability to generate product revenue sufficient to achieve profitability will depend on the successful development and eventual commercialization of our current or future product candidates. As of September 30, 2025, we had cash and cash equivalents of $0.1 million and accumulated deficit of $269.6 million. During the nine months ended September 30, 2025, we had operating losses of $154.3 million and negative cash flows from operations of $2.3 million. These losses have resulted primarily from costs incurred in connection with research and development activities, certain allocated general and administrative costs associated with our operations and certain costs associated with the Business Combination. We expect to continue to incur significant expenses and increasing operating losses for the foreseeable future, and our net losses may fluctuate significantly from period to period, depending on the timing of and expenditures on our planned research and development activities. Further, the Company’s financial statements for the fiscal years 2024 and 2023 and subsequent interim period are dependent on assumptions and allocations from the Scilex financial statements that management deems were reasonable and appropriate under the circumstances. Nevertheless, the Company’s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August 30, 2024, the Company entered into an Agreement and Plan of Merger (as it may be amended or restated from time to time in accordance with its terms, including by Amendment No. 1 to Agreement and Plan of Merger, dated as of April 16, 2025 and Amendment No. 2 to Agreement and Plan of Merger, dated as of July 22, 2025, the “Merger Agreement”) with Legacy Semnur and Merger Sub. Pursuant to the terms of the Merger Agreement, Merger Sub merged with and into the Legacy Semnur, with Legacy Semnur surviving the merger and becoming a wholly owned subsidiary of the Company (collectively,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2025, we consummated the Business Combination pursuant to the terms of the Merger Agreement with the Legacy Semnur and Merger Sub (the “Closing”). Pursuant to the Merger Agreement, we acquired all of the issued and outstanding equity interests of Legacy Semnur. At the Closing, (i) each outstanding share of Legacy Semnur Common Stock as of immediately prior to the effective time of the Merger (the “Effective Time”) (other than shares held by Semnur or its subsidiaries or shares the holders of which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dissenters’ rights of appraisal) automatically converted into the right to receive a number of shares of Company Common Stock equal to the Exchange Ratio (as defined in the Merger Agreement), (ii) each outstanding share of Legacy Semnur Preferred Stock as of immediately prior to the Effective Time automatically converted into the right to receive (a) one share of New Series A Preferred Stock and (b) one-tenth of one share of Company Common Stock, and (iii) each option to purchase Legacy Common Stock that was outstanding as of immediately prior to the Effective Time converted into the right to receive an option to purchase a number of New Common Stock upon substantially the same terms and conditions as were in effect with respect to such option immediately prior to the Effective Time with the exercise price thereof adjusted by the Exchange Ratio. The Merger Consideration transferred to Legacy Semnur stockholders and holders of Legacy Semnur Options (given that the Option Exchange Proposal was approved by the Denali shareholders at the Denali Shareholder Meeting) at Closing was 280,500,000 shares of Company Common Stock, which is equal to the quotient of (i) the sum of (A) $2.5 billion plus (B) the product of (1) the aggregate number of shares of Legacy Semnur Common Stock and Legacy Semnur Options issued after the date of the Merger Agreement and outstanding immediately prior to the Effective Time multiplied by (y) 1.25 multiplied by (2) $10.00, divided by (ii) $10.00.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Scilex and Legacy Semnur entered into the Debt Exchange Agreement (see Note 7 titled “Related Parties” to our interim financial statements included elsewhere in the Form 8-K to which this exhibit is attached for additional information), pursuant to which Scilex shall contribute to Legacy Semnur all amounts (including accrued and unpaid interest thereon, if any) for the Outstanding Indebtedness, in exchange for the issuance by Legacy Semnur to Scilex of that number of shares of Legacy Semnur Preferred Stock (subject to adjustment for recapitalizations, stock splits, stock dividends and similar transactions) that is equal to (a) the sum of the aggregate amount of the Outstanding Indebtedness and the amount that is equal to 10% of such aggregate amount of the Outstanding Indebtedness divided by (b) $11.00 (rounded up to the nearest whole share). As described elsewhere in the Current Report on Form 8-K, at the Effective Time, each share of Legacy Semnur Preferred Stock issued and outstanding immediately prior to the Effective Time shall be automatically converted into the right to receive, without interest, one share of New Series A Preferred Stock and one-tenth of one share of New Common Stock. The Outstanding Indebtedness as of immediately prior to the Closing of the Business Combination was $54,236,058 which was exchanged for an aggregate 5,423,606 shares of Legacy Semnur Preferred Stock prior to the Effective Time pursuant to the Debt Exchange Agreement, and then at the Effective Time, such shares were exchanged for 5,423,606 shares of Company Series A Preferred Stock and 542,361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was accounted for as a reverse recapitalization. Because Scilex controlled Legacy Semnur before the Business Combination and also controls us following the Business Combination, Denali was treated as the “acquired” company for financial reporting purposes. Accordingly, the Business Combination was treated as the equivalent of Legacy Semnur issuing stock for the net assets of Denali, accompanied by a recapitalization whereby the net assets of Denali will be stated at historical cost and no goodwill or other intangible assets are recorded. </w:t>
      </w:r>
    </w:p>
    <w:p>
      <w:pPr>
        <w:pStyle w:val="TextBody"/>
        <w:bidi w:val="0"/>
        <w:spacing w:before="360" w:after="0"/>
        <w:jc w:val="left"/>
        <w:rPr>
          <w:rFonts w:ascii="Times New Roman" w:hAnsi="Times New Roman"/>
          <w:b/>
          <w:sz w:val="20"/>
        </w:rPr>
      </w:pPr>
      <w:r>
        <w:rPr>
          <w:rFonts w:ascii="Times New Roman" w:hAnsi="Times New Roman"/>
          <w:b/>
          <w:sz w:val="20"/>
        </w:rPr>
        <w:t xml:space="preserve">Comparability of Our Results and Our Relationship with Scilex </w:t>
      </w:r>
    </w:p>
    <w:p>
      <w:pPr>
        <w:pStyle w:val="TextBody"/>
        <w:bidi w:val="0"/>
        <w:spacing w:before="120" w:after="0"/>
        <w:jc w:val="left"/>
        <w:rPr>
          <w:rFonts w:ascii="Times New Roman" w:hAnsi="Times New Roman"/>
          <w:sz w:val="20"/>
        </w:rPr>
      </w:pPr>
      <w:r>
        <w:rPr>
          <w:rFonts w:ascii="Times New Roman" w:hAnsi="Times New Roman"/>
          <w:sz w:val="20"/>
        </w:rPr>
        <w:t xml:space="preserve">Since 2019 we have operated as a majority owned subsidiary of Scilex. As a result, our historical financial statements may not be reflective of what our results of operations would have been had we been a standalone public company and no longer a majority owned subsidiary of Scilex. In particular, certain clinical trial management, regulatory, information technology, legal, accounting and finance, facilities and other corporate and infrastructural functions have historically been provided to us by Scilex. We expect that Scilex will continue to provide us with some of the services related to these functions on a transitional basis in exchange for agreed-upon fees pursuant to the Transition Services Agreement that was executed in connection with closing of the Business Combination. The costs associated with these services and support were allocated to our operating expenses based on the estimated percentage of time certain Scilex employees spent supporting the SP-102 program, and we expect to incur other costs to replace the services and resources that will not be provided by Scilex. We will also incur additional costs as a standalone public company. As a standalone public company,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costs related to certain support functions may differ from the costs that were historically allocated to us from Scilex. In addition, in the future, we expect to incur internal costs to implement certain new systems, including infrastructure and an enterprise resource planning system, while our systems are currently being fully supported by Scilex.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are expensed when incurred and consist primarily of direct and allocated costs incurred for our research activities, including the development of our product candidate, and include: </w:t>
      </w:r>
    </w:p>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 costs related to clinical trials, including contract manufacturing and supply;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allocated portion of salaries, benefits and other related costs, including stock-based compensation expense for Scilex personnel engaged in research and development functions related to the SP-102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allocated costs of facilities and support services incurred by Scilex used in drug development related to the SP-102 program;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direct and allocated costs related to outside consultants engaged in research and development functions related to the SP-102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our research and development expenses to increase, as we will incur incremental expenses associated with our lead product candidate, SP-102,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SP-102.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allocated costs related to salaries and other related costs, including stock-based compensation, for personnel in Scilex’s executive, marketing, finance, corporate and business development and administrative functions. General and administrative expenses also include allocated professional fees for legal, patent, accounting, auditing, tax and consulting services and expenses related to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general and administrative expenses will vary year over year in the future as we adapt our strategies to changes in the business environment. We also expect to incur increased expenses as a result of operating as a public company, including expenses related to compliance with the rules and regulations of the SEC, listing standards applicable to companies listed on a national securities exchange, additional insurance expenses, investor relations activities and other administrative and professional services. We also expect to allocate additional expenses relating to administrative, finance legal, and other corporate functions to adapt to the changes above and the anticipated growth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Comparison of the Three and Nine Months Ended September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our results of operations for the three and nine months ended September 30, 2025 and 2024 (in thousands): </w:t>
      </w:r>
    </w:p>
    <w:p>
      <w:pPr>
        <w:pStyle w:val="TextBody"/>
        <w:bidi w:val="0"/>
        <w:spacing w:before="0" w:after="0"/>
        <w:jc w:val="left"/>
        <w:rPr/>
      </w:pPr>
      <w:r>
        <w:rPr/>
        <w:t> </w:t>
      </w:r>
    </w:p>
    <w:tbl>
      <w:tblPr>
        <w:tblW w:w="9469" w:type="dxa"/>
        <w:jc w:val="left"/>
        <w:tblInd w:w="0" w:type="dxa"/>
        <w:tblLayout w:type="fixed"/>
        <w:tblCellMar>
          <w:top w:w="0" w:type="dxa"/>
          <w:left w:w="0" w:type="dxa"/>
          <w:bottom w:w="0" w:type="dxa"/>
          <w:right w:w="0" w:type="dxa"/>
        </w:tblCellMar>
      </w:tblPr>
      <w:tblGrid>
        <w:gridCol w:w="2225"/>
        <w:gridCol w:w="120"/>
        <w:gridCol w:w="154"/>
        <w:gridCol w:w="964"/>
        <w:gridCol w:w="170"/>
        <w:gridCol w:w="66"/>
        <w:gridCol w:w="154"/>
        <w:gridCol w:w="699"/>
        <w:gridCol w:w="155"/>
        <w:gridCol w:w="60"/>
        <w:gridCol w:w="140"/>
        <w:gridCol w:w="875"/>
        <w:gridCol w:w="155"/>
        <w:gridCol w:w="60"/>
        <w:gridCol w:w="144"/>
        <w:gridCol w:w="905"/>
        <w:gridCol w:w="160"/>
        <w:gridCol w:w="62"/>
        <w:gridCol w:w="144"/>
        <w:gridCol w:w="657"/>
        <w:gridCol w:w="155"/>
        <w:gridCol w:w="60"/>
        <w:gridCol w:w="140"/>
        <w:gridCol w:w="875"/>
        <w:gridCol w:w="17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69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65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right"/>
              <w:rPr/>
            </w:pPr>
            <w:r>
              <w:rPr/>
              <w:t>1,143</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99" w:type="dxa"/>
            <w:tcBorders/>
            <w:vAlign w:val="center"/>
          </w:tcPr>
          <w:p>
            <w:pPr>
              <w:pStyle w:val="TableContents"/>
              <w:bidi w:val="0"/>
              <w:spacing w:before="0" w:after="283"/>
              <w:jc w:val="right"/>
              <w:rPr/>
            </w:pPr>
            <w:r>
              <w:rPr/>
              <w:t>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1,832</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657" w:type="dxa"/>
            <w:tcBorders/>
            <w:vAlign w:val="center"/>
          </w:tcPr>
          <w:p>
            <w:pPr>
              <w:pStyle w:val="TableContents"/>
              <w:bidi w:val="0"/>
              <w:spacing w:before="0" w:after="283"/>
              <w:jc w:val="right"/>
              <w:rPr/>
            </w:pPr>
            <w:r>
              <w:rPr/>
              <w:t>1,474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358</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151,451</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1,065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150,386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152,426</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2,440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149,986</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single" w:sz="2" w:space="1" w:color="000000"/>
              </w:pBdr>
              <w:bidi w:val="0"/>
              <w:spacing w:before="0" w:after="0"/>
              <w:jc w:val="left"/>
              <w:rPr/>
            </w:pPr>
            <w:r>
              <w:rPr/>
              <w:t> </w:t>
            </w:r>
          </w:p>
        </w:tc>
        <w:tc>
          <w:tcPr>
            <w:tcW w:w="9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single" w:sz="2" w:space="1" w:color="000000"/>
              </w:pBdr>
              <w:bidi w:val="0"/>
              <w:spacing w:before="0" w:after="0"/>
              <w:jc w:val="left"/>
              <w:rPr/>
            </w:pPr>
            <w:r>
              <w:rPr/>
              <w:t> </w:t>
            </w:r>
          </w:p>
        </w:tc>
        <w:tc>
          <w:tcPr>
            <w:tcW w:w="6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905" w:type="dxa"/>
            <w:tcBorders/>
            <w:vAlign w:val="center"/>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65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152,594</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1,298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151,296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154,258</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pPr>
            <w:r>
              <w:rPr/>
              <w:t>3,914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150,344</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single" w:sz="2" w:space="1" w:color="000000"/>
              </w:pBdr>
              <w:bidi w:val="0"/>
              <w:spacing w:before="0" w:after="0"/>
              <w:jc w:val="left"/>
              <w:rPr/>
            </w:pPr>
            <w:r>
              <w:rPr/>
              <w:t> </w:t>
            </w:r>
          </w:p>
        </w:tc>
        <w:tc>
          <w:tcPr>
            <w:tcW w:w="9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single" w:sz="2" w:space="1" w:color="000000"/>
              </w:pBdr>
              <w:bidi w:val="0"/>
              <w:spacing w:before="0" w:after="0"/>
              <w:jc w:val="left"/>
              <w:rPr/>
            </w:pPr>
            <w:r>
              <w:rPr/>
              <w:t> </w:t>
            </w:r>
          </w:p>
        </w:tc>
        <w:tc>
          <w:tcPr>
            <w:tcW w:w="6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905" w:type="dxa"/>
            <w:tcBorders/>
            <w:vAlign w:val="center"/>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65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(152,594</w:t>
            </w:r>
          </w:p>
        </w:tc>
        <w:tc>
          <w:tcPr>
            <w:tcW w:w="1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(1,298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(151,296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(154,258</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(3,914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(150,344</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single" w:sz="2" w:space="1" w:color="000000"/>
              </w:pBdr>
              <w:bidi w:val="0"/>
              <w:spacing w:before="0" w:after="0"/>
              <w:jc w:val="left"/>
              <w:rPr/>
            </w:pPr>
            <w:r>
              <w:rPr/>
              <w:t> </w:t>
            </w:r>
          </w:p>
        </w:tc>
        <w:tc>
          <w:tcPr>
            <w:tcW w:w="9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single" w:sz="2" w:space="1" w:color="000000"/>
              </w:pBdr>
              <w:bidi w:val="0"/>
              <w:spacing w:before="0" w:after="0"/>
              <w:jc w:val="left"/>
              <w:rPr/>
            </w:pPr>
            <w:r>
              <w:rPr/>
              <w:t> </w:t>
            </w:r>
          </w:p>
        </w:tc>
        <w:tc>
          <w:tcPr>
            <w:tcW w:w="6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905" w:type="dxa"/>
            <w:tcBorders/>
            <w:vAlign w:val="center"/>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65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964" w:type="dxa"/>
            <w:tcBorders/>
            <w:vAlign w:val="center"/>
          </w:tcPr>
          <w:p>
            <w:pPr>
              <w:pStyle w:val="TableContents"/>
              <w:bidi w:val="0"/>
              <w:spacing w:before="0" w:after="283"/>
              <w:jc w:val="right"/>
              <w:rPr/>
            </w:pPr>
            <w:r>
              <w:rPr/>
              <w:t>(152,594</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699" w:type="dxa"/>
            <w:tcBorders/>
            <w:vAlign w:val="center"/>
          </w:tcPr>
          <w:p>
            <w:pPr>
              <w:pStyle w:val="TableContents"/>
              <w:bidi w:val="0"/>
              <w:spacing w:before="0" w:after="283"/>
              <w:jc w:val="right"/>
              <w:rPr/>
            </w:pPr>
            <w:r>
              <w:rPr/>
              <w:t>(1,298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(151,296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(154,258</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657" w:type="dxa"/>
            <w:tcBorders/>
            <w:vAlign w:val="center"/>
          </w:tcPr>
          <w:p>
            <w:pPr>
              <w:pStyle w:val="TableContents"/>
              <w:bidi w:val="0"/>
              <w:spacing w:before="0" w:after="283"/>
              <w:jc w:val="right"/>
              <w:rPr/>
            </w:pPr>
            <w:r>
              <w:rPr/>
              <w:t>(3,914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(150,344</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double" w:sz="6" w:space="1" w:color="000000"/>
              </w:pBdr>
              <w:bidi w:val="0"/>
              <w:spacing w:before="0" w:after="0"/>
              <w:jc w:val="left"/>
              <w:rPr/>
            </w:pPr>
            <w:r>
              <w:rPr/>
              <w:t> </w:t>
            </w:r>
          </w:p>
        </w:tc>
        <w:tc>
          <w:tcPr>
            <w:tcW w:w="96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pBdr>
                <w:top w:val="double" w:sz="6" w:space="1" w:color="000000"/>
              </w:pBdr>
              <w:bidi w:val="0"/>
              <w:spacing w:before="0" w:after="0"/>
              <w:jc w:val="left"/>
              <w:rPr/>
            </w:pPr>
            <w:r>
              <w:rPr/>
              <w:t> </w:t>
            </w:r>
          </w:p>
        </w:tc>
        <w:tc>
          <w:tcPr>
            <w:tcW w:w="69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905" w:type="dxa"/>
            <w:tcBorders/>
            <w:vAlign w:val="center"/>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657"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expenses for the three and nine months ended September 30, 2025 and 2024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8"/>
        <w:gridCol w:w="60"/>
        <w:gridCol w:w="230"/>
        <w:gridCol w:w="923"/>
        <w:gridCol w:w="98"/>
        <w:gridCol w:w="98"/>
        <w:gridCol w:w="253"/>
        <w:gridCol w:w="696"/>
        <w:gridCol w:w="60"/>
        <w:gridCol w:w="60"/>
        <w:gridCol w:w="315"/>
        <w:gridCol w:w="860"/>
        <w:gridCol w:w="60"/>
        <w:gridCol w:w="60"/>
        <w:gridCol w:w="194"/>
        <w:gridCol w:w="779"/>
        <w:gridCol w:w="81"/>
        <w:gridCol w:w="81"/>
        <w:gridCol w:w="194"/>
        <w:gridCol w:w="779"/>
        <w:gridCol w:w="60"/>
        <w:gridCol w:w="60"/>
        <w:gridCol w:w="315"/>
        <w:gridCol w:w="860"/>
        <w:gridCol w:w="81"/>
      </w:tblGrid>
      <w:tr>
        <w:trPr/>
        <w:tc>
          <w:tcPr>
            <w:tcW w:w="2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2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2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Change 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2025 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Change </w:t>
            </w:r>
          </w:p>
        </w:tc>
        <w:tc>
          <w:tcPr>
            <w:tcW w:w="81" w:type="dxa"/>
            <w:tcBorders/>
            <w:vAlign w:val="center"/>
          </w:tcPr>
          <w:p>
            <w:pPr>
              <w:pStyle w:val="TableContents"/>
              <w:bidi w:val="0"/>
              <w:spacing w:before="0" w:after="283"/>
              <w:jc w:val="left"/>
              <w:rPr/>
            </w:pPr>
            <w:r>
              <w:rPr/>
              <w:t> </w:t>
            </w:r>
          </w:p>
        </w:tc>
      </w:tr>
      <w:tr>
        <w:trPr/>
        <w:tc>
          <w:tcPr>
            <w:tcW w:w="294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SP-102:</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923"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sz w:val="4"/>
                <w:szCs w:val="4"/>
              </w:rPr>
            </w:pPr>
            <w:r>
              <w:rPr>
                <w:sz w:val="4"/>
                <w:szCs w:val="4"/>
              </w:rPr>
            </w:r>
          </w:p>
        </w:tc>
      </w:tr>
      <w:tr>
        <w:trPr/>
        <w:tc>
          <w:tcPr>
            <w:tcW w:w="2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23" w:type="dxa"/>
            <w:tcBorders/>
            <w:vAlign w:val="center"/>
          </w:tcPr>
          <w:p>
            <w:pPr>
              <w:pStyle w:val="TableContents"/>
              <w:bidi w:val="0"/>
              <w:spacing w:before="0" w:after="283"/>
              <w:jc w:val="right"/>
              <w:rPr/>
            </w:pPr>
            <w:r>
              <w:rPr/>
              <w:t>949</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696" w:type="dxa"/>
            <w:tcBorders/>
            <w:vAlign w:val="center"/>
          </w:tcPr>
          <w:p>
            <w:pPr>
              <w:pStyle w:val="TableContents"/>
              <w:bidi w:val="0"/>
              <w:spacing w:before="0" w:after="283"/>
              <w:jc w:val="right"/>
              <w:rPr/>
            </w:pPr>
            <w:r>
              <w:rPr/>
              <w:t>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79" w:type="dxa"/>
            <w:tcBorders/>
            <w:vAlign w:val="center"/>
          </w:tcPr>
          <w:p>
            <w:pPr>
              <w:pStyle w:val="TableContents"/>
              <w:bidi w:val="0"/>
              <w:spacing w:before="0" w:after="283"/>
              <w:jc w:val="right"/>
              <w:rPr/>
            </w:pPr>
            <w:r>
              <w:rPr/>
              <w:t>1,126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779" w:type="dxa"/>
            <w:tcBorders/>
            <w:vAlign w:val="center"/>
          </w:tcPr>
          <w:p>
            <w:pPr>
              <w:pStyle w:val="TableContents"/>
              <w:bidi w:val="0"/>
              <w:spacing w:before="0" w:after="283"/>
              <w:jc w:val="right"/>
              <w:rPr/>
            </w:pPr>
            <w:r>
              <w:rPr/>
              <w:t>1,032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94</w:t>
            </w:r>
          </w:p>
        </w:tc>
        <w:tc>
          <w:tcPr>
            <w:tcW w:w="81" w:type="dxa"/>
            <w:tcBorders/>
            <w:vAlign w:val="center"/>
          </w:tcPr>
          <w:p>
            <w:pPr>
              <w:pStyle w:val="TableContents"/>
              <w:bidi w:val="0"/>
              <w:spacing w:before="0" w:after="283"/>
              <w:jc w:val="left"/>
              <w:rPr/>
            </w:pPr>
            <w:r>
              <w:rPr/>
              <w:t> </w:t>
            </w:r>
          </w:p>
        </w:tc>
      </w:tr>
      <w:tr>
        <w:trPr/>
        <w:tc>
          <w:tcPr>
            <w:tcW w:w="294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159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629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226</w:t>
            </w:r>
          </w:p>
        </w:tc>
        <w:tc>
          <w:tcPr>
            <w:tcW w:w="81" w:type="dxa"/>
            <w:tcBorders/>
            <w:shd w:fill="CCEEFF" w:val="clear"/>
            <w:vAlign w:val="center"/>
          </w:tcPr>
          <w:p>
            <w:pPr>
              <w:pStyle w:val="TableContents"/>
              <w:bidi w:val="0"/>
              <w:spacing w:before="0" w:after="283"/>
              <w:jc w:val="left"/>
              <w:rPr/>
            </w:pPr>
            <w:r>
              <w:rPr/>
              <w:t> </w:t>
            </w:r>
          </w:p>
        </w:tc>
      </w:tr>
      <w:tr>
        <w:trPr/>
        <w:tc>
          <w:tcPr>
            <w:tcW w:w="2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35</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77</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38</w:t>
            </w:r>
          </w:p>
        </w:tc>
        <w:tc>
          <w:tcPr>
            <w:tcW w:w="81" w:type="dxa"/>
            <w:tcBorders/>
            <w:vAlign w:val="center"/>
          </w:tcPr>
          <w:p>
            <w:pPr>
              <w:pStyle w:val="TableContents"/>
              <w:bidi w:val="0"/>
              <w:spacing w:before="0" w:after="283"/>
              <w:jc w:val="left"/>
              <w:rPr/>
            </w:pPr>
            <w:r>
              <w:rPr/>
              <w:t> </w:t>
            </w:r>
          </w:p>
        </w:tc>
      </w:tr>
      <w:tr>
        <w:trPr/>
        <w:tc>
          <w:tcPr>
            <w:tcW w:w="2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pBdr>
                <w:top w:val="single" w:sz="2" w:space="1" w:color="000000"/>
              </w:pBdr>
              <w:bidi w:val="0"/>
              <w:spacing w:before="0" w:after="0"/>
              <w:jc w:val="left"/>
              <w:rPr/>
            </w:pPr>
            <w:r>
              <w:rPr/>
              <w:t> </w:t>
            </w:r>
          </w:p>
        </w:tc>
        <w:tc>
          <w:tcPr>
            <w:tcW w:w="923" w:type="dxa"/>
            <w:tcBorders/>
            <w:vAlign w:val="center"/>
          </w:tcPr>
          <w:p>
            <w:pPr>
              <w:pStyle w:val="TableContents"/>
              <w:pBdr>
                <w:top w:val="single" w:sz="2"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53" w:type="dxa"/>
            <w:tcBorders/>
            <w:vAlign w:val="center"/>
          </w:tcPr>
          <w:p>
            <w:pPr>
              <w:pStyle w:val="TableContents"/>
              <w:pBdr>
                <w:top w:val="single" w:sz="2" w:space="1" w:color="000000"/>
              </w:pBdr>
              <w:bidi w:val="0"/>
              <w:spacing w:before="0" w:after="0"/>
              <w:jc w:val="left"/>
              <w:rPr/>
            </w:pPr>
            <w:r>
              <w:rPr/>
              <w:t> </w:t>
            </w:r>
          </w:p>
        </w:tc>
        <w:tc>
          <w:tcPr>
            <w:tcW w:w="69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single" w:sz="2" w:space="1" w:color="000000"/>
              </w:pBdr>
              <w:bidi w:val="0"/>
              <w:spacing w:before="0" w:after="0"/>
              <w:jc w:val="left"/>
              <w:rPr/>
            </w:pPr>
            <w:r>
              <w:rPr/>
              <w:t> </w:t>
            </w:r>
          </w:p>
        </w:tc>
        <w:tc>
          <w:tcPr>
            <w:tcW w:w="779" w:type="dxa"/>
            <w:tcBorders/>
            <w:vAlign w:val="center"/>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single" w:sz="2" w:space="1" w:color="000000"/>
              </w:pBdr>
              <w:bidi w:val="0"/>
              <w:spacing w:before="0" w:after="0"/>
              <w:jc w:val="left"/>
              <w:rPr/>
            </w:pPr>
            <w:r>
              <w:rPr/>
              <w:t> </w:t>
            </w:r>
          </w:p>
        </w:tc>
        <w:tc>
          <w:tcPr>
            <w:tcW w:w="77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r>
      <w:tr>
        <w:trPr/>
        <w:tc>
          <w:tcPr>
            <w:tcW w:w="294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1,143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1,832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358</w:t>
            </w:r>
          </w:p>
        </w:tc>
        <w:tc>
          <w:tcPr>
            <w:tcW w:w="81" w:type="dxa"/>
            <w:tcBorders/>
            <w:shd w:fill="CCEEFF" w:val="clear"/>
            <w:vAlign w:val="center"/>
          </w:tcPr>
          <w:p>
            <w:pPr>
              <w:pStyle w:val="TableContents"/>
              <w:bidi w:val="0"/>
              <w:spacing w:before="0" w:after="283"/>
              <w:jc w:val="left"/>
              <w:rPr/>
            </w:pPr>
            <w:r>
              <w:rPr/>
              <w:t> </w:t>
            </w:r>
          </w:p>
        </w:tc>
      </w:tr>
      <w:tr>
        <w:trPr/>
        <w:tc>
          <w:tcPr>
            <w:tcW w:w="2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pBdr>
                <w:top w:val="double" w:sz="6" w:space="1" w:color="000000"/>
              </w:pBdr>
              <w:bidi w:val="0"/>
              <w:spacing w:before="0" w:after="0"/>
              <w:jc w:val="left"/>
              <w:rPr/>
            </w:pPr>
            <w:r>
              <w:rPr/>
              <w:t> </w:t>
            </w:r>
          </w:p>
        </w:tc>
        <w:tc>
          <w:tcPr>
            <w:tcW w:w="923" w:type="dxa"/>
            <w:tcBorders/>
            <w:vAlign w:val="center"/>
          </w:tcPr>
          <w:p>
            <w:pPr>
              <w:pStyle w:val="TableContents"/>
              <w:pBdr>
                <w:top w:val="double" w:sz="6" w:space="1" w:color="000000"/>
              </w:pBdr>
              <w:bidi w:val="0"/>
              <w:spacing w:before="0" w:after="0"/>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53" w:type="dxa"/>
            <w:tcBorders/>
            <w:vAlign w:val="center"/>
          </w:tcPr>
          <w:p>
            <w:pPr>
              <w:pStyle w:val="TableContents"/>
              <w:pBdr>
                <w:top w:val="double" w:sz="6" w:space="1" w:color="000000"/>
              </w:pBdr>
              <w:bidi w:val="0"/>
              <w:spacing w:before="0" w:after="0"/>
              <w:jc w:val="left"/>
              <w:rPr/>
            </w:pPr>
            <w:r>
              <w:rPr/>
              <w:t> </w:t>
            </w:r>
          </w:p>
        </w:tc>
        <w:tc>
          <w:tcPr>
            <w:tcW w:w="69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double" w:sz="6" w:space="1" w:color="000000"/>
              </w:pBdr>
              <w:bidi w:val="0"/>
              <w:spacing w:before="0" w:after="0"/>
              <w:jc w:val="left"/>
              <w:rPr/>
            </w:pPr>
            <w:r>
              <w:rPr/>
              <w:t> </w:t>
            </w:r>
          </w:p>
        </w:tc>
        <w:tc>
          <w:tcPr>
            <w:tcW w:w="779" w:type="dxa"/>
            <w:tcBorders/>
            <w:vAlign w:val="center"/>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4" w:type="dxa"/>
            <w:tcBorders/>
            <w:vAlign w:val="center"/>
          </w:tcPr>
          <w:p>
            <w:pPr>
              <w:pStyle w:val="TableContents"/>
              <w:pBdr>
                <w:top w:val="double" w:sz="6" w:space="1" w:color="000000"/>
              </w:pBdr>
              <w:bidi w:val="0"/>
              <w:spacing w:before="0" w:after="0"/>
              <w:jc w:val="left"/>
              <w:rPr/>
            </w:pPr>
            <w:r>
              <w:rPr/>
              <w:t> </w:t>
            </w:r>
          </w:p>
        </w:tc>
        <w:tc>
          <w:tcPr>
            <w:tcW w:w="77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research and development expenses for the three months ended September 30, 2025 and 2024 were $1.1 million and $0.2 million, respectively. The increase of $0.9 million was primarily related to the increase in contracted research and development expenses due to increased manufacturing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Total research and development expenses for the nine months ended September 30, 2025 and 2024 were $1.8 million and $1.5 million, respectively. The increase of $0.4 million was primarily related to increased allocated personnel costs from Scilex.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general and administrative expenses for the three months ended September 30, 2025 and 2024 were $151.5 million and $1.1 million, respectively. The increase of $150.4 million was primarily related to $140.0 million of consulting expense related to consultant shares issued at Closing and $9.9 million of deferred offering costs written off at Closing. There was also an increase in personnel costs of $0.5 million due to increased allocated personnel costs and the hiring of three employees at Closing. </w:t>
      </w:r>
    </w:p>
    <w:p>
      <w:pPr>
        <w:pStyle w:val="TextBody"/>
        <w:bidi w:val="0"/>
        <w:spacing w:before="240" w:after="0"/>
        <w:jc w:val="left"/>
        <w:rPr>
          <w:rFonts w:ascii="Times New Roman" w:hAnsi="Times New Roman"/>
          <w:sz w:val="20"/>
        </w:rPr>
      </w:pPr>
      <w:r>
        <w:rPr>
          <w:rFonts w:ascii="Times New Roman" w:hAnsi="Times New Roman"/>
          <w:sz w:val="20"/>
        </w:rPr>
        <w:t xml:space="preserve">Total general and administrative expenses for the nine months ended September 30, 2025 and 2024 were $152.4 million and $2.4 million, respectively. The increase of $150.0 million was primarily related to $140.0 million of consulting expense related to consultant shares issued at Closing and $9.9 million of deferred offering costs written off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Comparison of the Years Ended December 31, 2024 and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research and development expenses for the years ended December 31, 2024 and 2023 (in thousands): </w:t>
      </w:r>
    </w:p>
    <w:p>
      <w:pPr>
        <w:pStyle w:val="TextBody"/>
        <w:bidi w:val="0"/>
        <w:spacing w:before="0" w:after="0"/>
        <w:jc w:val="left"/>
        <w:rPr/>
      </w:pPr>
      <w:r>
        <w:rPr/>
        <w:t> </w:t>
      </w:r>
    </w:p>
    <w:tbl>
      <w:tblPr>
        <w:tblW w:w="7953" w:type="dxa"/>
        <w:jc w:val="left"/>
        <w:tblInd w:w="0" w:type="dxa"/>
        <w:tblLayout w:type="fixed"/>
        <w:tblCellMar>
          <w:top w:w="0" w:type="dxa"/>
          <w:left w:w="0" w:type="dxa"/>
          <w:bottom w:w="0" w:type="dxa"/>
          <w:right w:w="0" w:type="dxa"/>
        </w:tblCellMar>
      </w:tblPr>
      <w:tblGrid>
        <w:gridCol w:w="3860"/>
        <w:gridCol w:w="120"/>
        <w:gridCol w:w="240"/>
        <w:gridCol w:w="963"/>
        <w:gridCol w:w="103"/>
        <w:gridCol w:w="206"/>
        <w:gridCol w:w="240"/>
        <w:gridCol w:w="966"/>
        <w:gridCol w:w="60"/>
        <w:gridCol w:w="120"/>
        <w:gridCol w:w="212"/>
        <w:gridCol w:w="693"/>
        <w:gridCol w:w="17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SP-102</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963" w:type="dxa"/>
            <w:tcBorders/>
            <w:shd w:fill="CCEEFF" w:val="clear"/>
            <w:vAlign w:val="center"/>
          </w:tcPr>
          <w:p>
            <w:pPr>
              <w:pStyle w:val="TableContents"/>
              <w:bidi w:val="0"/>
              <w:spacing w:before="0" w:after="283"/>
              <w:jc w:val="left"/>
              <w:rPr>
                <w:sz w:val="4"/>
                <w:szCs w:val="4"/>
              </w:rPr>
            </w:pPr>
            <w:r>
              <w:rPr>
                <w:sz w:val="4"/>
                <w:szCs w:val="4"/>
              </w:rPr>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96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69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63" w:type="dxa"/>
            <w:tcBorders/>
            <w:vAlign w:val="center"/>
          </w:tcPr>
          <w:p>
            <w:pPr>
              <w:pStyle w:val="TableContents"/>
              <w:bidi w:val="0"/>
              <w:spacing w:before="0" w:after="283"/>
              <w:jc w:val="right"/>
              <w:rPr/>
            </w:pPr>
            <w:r>
              <w:rPr/>
              <w:t>1,160</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66" w:type="dxa"/>
            <w:tcBorders/>
            <w:vAlign w:val="center"/>
          </w:tcPr>
          <w:p>
            <w:pPr>
              <w:pStyle w:val="TableContents"/>
              <w:bidi w:val="0"/>
              <w:spacing w:before="0" w:after="283"/>
              <w:jc w:val="right"/>
              <w:rPr/>
            </w:pPr>
            <w:r>
              <w:rPr/>
              <w:t>1,299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w:t>
            </w:r>
          </w:p>
        </w:tc>
        <w:tc>
          <w:tcPr>
            <w:tcW w:w="693" w:type="dxa"/>
            <w:tcBorders/>
            <w:vAlign w:val="center"/>
          </w:tcPr>
          <w:p>
            <w:pPr>
              <w:pStyle w:val="TableContents"/>
              <w:bidi w:val="0"/>
              <w:spacing w:before="0" w:after="283"/>
              <w:jc w:val="right"/>
              <w:rPr/>
            </w:pPr>
            <w:r>
              <w:rPr/>
              <w:t>(139</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 including stock-based compensation</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492</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234</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57</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pBdr>
                <w:top w:val="single" w:sz="2" w:space="1" w:color="000000"/>
              </w:pBdr>
              <w:bidi w:val="0"/>
              <w:spacing w:before="0" w:after="0"/>
              <w:jc w:val="left"/>
              <w:rPr/>
            </w:pPr>
            <w:r>
              <w:rPr/>
              <w:t> </w:t>
            </w:r>
          </w:p>
        </w:tc>
        <w:tc>
          <w:tcPr>
            <w:tcW w:w="963" w:type="dxa"/>
            <w:tcBorders/>
            <w:vAlign w:val="center"/>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pBdr>
                <w:top w:val="single" w:sz="2" w:space="1" w:color="000000"/>
              </w:pBdr>
              <w:bidi w:val="0"/>
              <w:spacing w:before="0" w:after="0"/>
              <w:jc w:val="left"/>
              <w:rPr/>
            </w:pPr>
            <w:r>
              <w:rPr/>
              <w:t> </w:t>
            </w:r>
          </w:p>
        </w:tc>
        <w:tc>
          <w:tcPr>
            <w:tcW w:w="96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single" w:sz="2" w:space="1" w:color="000000"/>
              </w:pBdr>
              <w:bidi w:val="0"/>
              <w:spacing w:before="0" w:after="0"/>
              <w:jc w:val="left"/>
              <w:rPr/>
            </w:pPr>
            <w:r>
              <w:rPr/>
              <w:t> </w:t>
            </w:r>
          </w:p>
        </w:tc>
        <w:tc>
          <w:tcPr>
            <w:tcW w:w="693"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1,709</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1,621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693" w:type="dxa"/>
            <w:tcBorders/>
            <w:shd w:fill="CCEEFF" w:val="clear"/>
            <w:vAlign w:val="center"/>
          </w:tcPr>
          <w:p>
            <w:pPr>
              <w:pStyle w:val="TableContents"/>
              <w:bidi w:val="0"/>
              <w:spacing w:before="0" w:after="283"/>
              <w:jc w:val="right"/>
              <w:rPr/>
            </w:pPr>
            <w:r>
              <w:rPr/>
              <w:t>88</w:t>
            </w:r>
          </w:p>
        </w:tc>
        <w:tc>
          <w:tcPr>
            <w:tcW w:w="17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pBdr>
                <w:top w:val="double" w:sz="6" w:space="1" w:color="000000"/>
              </w:pBdr>
              <w:bidi w:val="0"/>
              <w:spacing w:before="0" w:after="0"/>
              <w:jc w:val="left"/>
              <w:rPr/>
            </w:pPr>
            <w:r>
              <w:rPr/>
              <w:t> </w:t>
            </w:r>
          </w:p>
        </w:tc>
        <w:tc>
          <w:tcPr>
            <w:tcW w:w="963" w:type="dxa"/>
            <w:tcBorders/>
            <w:vAlign w:val="center"/>
          </w:tcPr>
          <w:p>
            <w:pPr>
              <w:pStyle w:val="TableContents"/>
              <w:pBdr>
                <w:top w:val="double" w:sz="6"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240" w:type="dxa"/>
            <w:tcBorders/>
            <w:vAlign w:val="center"/>
          </w:tcPr>
          <w:p>
            <w:pPr>
              <w:pStyle w:val="TableContents"/>
              <w:pBdr>
                <w:top w:val="double" w:sz="6" w:space="1" w:color="000000"/>
              </w:pBdr>
              <w:bidi w:val="0"/>
              <w:spacing w:before="0" w:after="0"/>
              <w:jc w:val="left"/>
              <w:rPr/>
            </w:pPr>
            <w:r>
              <w:rPr/>
              <w:t> </w:t>
            </w:r>
          </w:p>
        </w:tc>
        <w:tc>
          <w:tcPr>
            <w:tcW w:w="96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 w:type="dxa"/>
            <w:tcBorders/>
            <w:vAlign w:val="center"/>
          </w:tcPr>
          <w:p>
            <w:pPr>
              <w:pStyle w:val="TableContents"/>
              <w:pBdr>
                <w:top w:val="double" w:sz="6" w:space="1" w:color="000000"/>
              </w:pBdr>
              <w:bidi w:val="0"/>
              <w:spacing w:before="0" w:after="0"/>
              <w:jc w:val="left"/>
              <w:rPr/>
            </w:pPr>
            <w:r>
              <w:rPr/>
              <w:t> </w:t>
            </w:r>
          </w:p>
        </w:tc>
        <w:tc>
          <w:tcPr>
            <w:tcW w:w="693"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research and development expenses for the years ended December 31, 2024 and 2023 were $1.7 million and $1.6 million, respectively. The increase of $0.1 million was primarily attributed to an increase of $0.2 million from allocated personnel costs and an increase of $0.1 million from consulting costs, offset by a decrease of $0.2 million in chemistry manufacturing and controls costs related to drug supply of SP-102.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for the years ended December 31, 2024 and 2023 were $3.0 million and $1.6 million, respectively. The increase of $1.4 million was primarily attributed to an increase of professional services expense of $1.7 million, offset by a decrease of $0.3 million in allocated stock-based compensation expense.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cash and cash equivalents of $0.1 million and accumulated deficit of $269.6 million. During the nine months ended September 30, 2025, we had operating losses of $154.3 million and negative cash flows from operations of $2.3 million. As of December 31, 2024, we had cash and cash equivalents of approximately $12,000. During the year ended December 31, 2024, we had operating losses of $4.7 million and negative cash flows from operations of $4.9 million. We had an accumulated deficit of approximately $115.4 million as of December 31, 2024. We are dependent upon Scilex and its affiliates to provide services and funding to support our operations until, at least, such time as external financing is obtained. We expect to incur significant expenses and operating losses for the foreseeable future as we continue our efforts to develop and seek regulatory approval for SP-102.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Liquidity Needs </w:t>
      </w:r>
    </w:p>
    <w:p>
      <w:pPr>
        <w:pStyle w:val="TextBody"/>
        <w:bidi w:val="0"/>
        <w:spacing w:before="120" w:after="0"/>
        <w:jc w:val="left"/>
        <w:rPr>
          <w:rFonts w:ascii="Times New Roman" w:hAnsi="Times New Roman"/>
          <w:sz w:val="20"/>
        </w:rPr>
      </w:pPr>
      <w:r>
        <w:rPr>
          <w:rFonts w:ascii="Times New Roman" w:hAnsi="Times New Roman"/>
          <w:sz w:val="20"/>
        </w:rPr>
        <w:t xml:space="preserve">We estimate that our planned operating expenses will be approximately $21.0 million during the next twelve months, which includes the cost of clinical work of approximately $10.0 million. We do not anticipate significant increases in our costs of clinical work during this period. </w:t>
      </w:r>
    </w:p>
    <w:p>
      <w:pPr>
        <w:pStyle w:val="TextBody"/>
        <w:bidi w:val="0"/>
        <w:spacing w:before="240" w:after="0"/>
        <w:jc w:val="left"/>
        <w:rPr>
          <w:rFonts w:ascii="Times New Roman" w:hAnsi="Times New Roman"/>
          <w:sz w:val="20"/>
        </w:rPr>
      </w:pPr>
      <w:r>
        <w:rPr>
          <w:rFonts w:ascii="Times New Roman" w:hAnsi="Times New Roman"/>
          <w:sz w:val="20"/>
        </w:rPr>
        <w:t xml:space="preserve">In the twelve months following the consummation of the Business Combination, we expect our primary sources of liquidity to include our existing cash on hand and continued support from Scilex pursuant to the Transition Services Agreement and we are currently exploring various financing alternatives, including new credit facilities, non-dilutive financing options, such as collaborations with international partners to out-license SP-102, debt financings and royalty financings, and equity financing options, such as standby equity purchase arrangements or private placements.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PIPE SPA </w:t>
      </w:r>
    </w:p>
    <w:p>
      <w:pPr>
        <w:pStyle w:val="TextBody"/>
        <w:bidi w:val="0"/>
        <w:spacing w:before="120" w:after="0"/>
        <w:jc w:val="left"/>
        <w:rPr>
          <w:rFonts w:ascii="Times New Roman" w:hAnsi="Times New Roman"/>
          <w:sz w:val="20"/>
        </w:rPr>
      </w:pPr>
      <w:r>
        <w:rPr>
          <w:rFonts w:ascii="Times New Roman" w:hAnsi="Times New Roman"/>
          <w:sz w:val="20"/>
        </w:rPr>
        <w:t xml:space="preserve">On August 20, 2025, we and Legacy Semnur entered into a securities purchase agreement (the “PIPE SPA”) with the investor named therein (the “PIPE Investor”), pursuant to which the investor agreed to purchase 1,250,000 shares of Semnur Common Stock at a price of $16.00 per share, for an aggregate purchase price of $20.0 million upon consummation of the Business Combination. On September 22, 2025, the PIPE SPA was amended to provide that unless such agreement was terminated pursuant to its terms (or otherwise by mutual agreement of the parties thereto), the closing would occur not later than the 14th business day following the closing of the Business Combination, subject to the satisfaction or waiver of the closing conditions set forth therein. As of the date of this prospectus, the closing of the transactions contemplated by the PIPE SPA has not occurred.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23, 2025, Semnur entered into a Securities Purchase Agreement with Biconomy (the “Biconomy SPA”).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Biconomy SPA, Semnur agreed to issue and sell, and Biconomy agreed to purchase, an aggregate of 6,250,000 Biconomy Shares, for a purchase price of $16.00 per share, payable in Bitcoin(“Bitcoin”), with such amount of Bitcoin equal to the quotient of (A) the Buyer’s aggregate purchase price </w:t>
      </w:r>
      <w:r>
        <w:rPr>
          <w:rFonts w:ascii="Times New Roman" w:hAnsi="Times New Roman"/>
          <w:i/>
          <w:sz w:val="20"/>
        </w:rPr>
        <w:t>divided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(B) the spot exchange rate for Bitcoin as published by Coinbase.com at 8:00 p.m. (New York City time) on the trading day immediately prior to the closing date of the purchase. The closing of the transactions contemplated by the Biconomy SPA has not occurred as of the date of this prospectus. In the event that the transaction does not close on or before December 31, 2025, the non-breaching party has an option to terminate the Biconomy SPA without liability.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PIPE SPA and the Biconomy SPA, we may receive financing of $20.0 million and $100.0 million, respectively, if the respective transactions close by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Transition Services Agreement with Scilex, we expect to receive approximately $2.0 million of continued support from Scilex, inclusive of fees, in the twelve months following the consummation of the Business Combination. The continued support from Scilex is expected to consist of (a) clinical support to run the planned Phase 3 trial for approximately $0.8 million, (b) CMC manufacturing support for approximately $0.7 million, (c) general and administrative support, such as human resources, legal and accounting, for approximately $0.4 million and (d) IT support for approximately $0.1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10"/>
        <w:gridCol w:w="6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conducting studies and clinical trials for our product candidate, SP-102;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our product candidate;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manufacturing our product candidate;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royalty or other payments we are required to make pursuant to any current or future collaboration or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our product candidate, if approved for commercialization, is adopted by the physician community;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expand our research and development activities;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acquiring, licensing or investing in businesses, product candidates and technologies;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products and product candidates and other market developments;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types of future products or product candidates we develop and commercialize;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product liability or other lawsuits related to our current or future product candidates;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needed to attract, hire and retain skilled personnel;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implement additional internal systems and infrastructure, including financial and reporting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and maintaining, enforcing and defending intellectual property-related claims;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and scope of our general and administrative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the clinical programs of our product candidate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offerings, debt financings, collaborations, government contracts or other capital sources, including potential collaborations with other companies or other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it could result in dilution to our existing stockholder or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delay, scale back or discontinue the development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are dependent upon Scilex and its affiliates to provide services and funding to support our operations until, at least, such time as external financing is obtained. We may also need to take certain other actions to allow us to maintain our projected cash and projected financial position including but not limited to, additional reductions in general and administrative costs, suspension or winding down of clinical development programs and other discretionary costs. Although we believe such plans, if executed and coupled with the above described sources of liquidity, should provide us with financing to meet our needs, successful completion of such plans is dependent on factors outside of our control.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continue to incur net losses into the foreseeable future as we support our clinical development to expand approved indications, continue our development of, and seek regulatory approvals for, our product candidate, and expand our corporate infrastructure. As a result, we have concluded that there is substantial doubt about our ability to continue as a going concern within one year after the date that the interim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financial statements are issued. See Note 2 and Note 1 section titled “</w:t>
      </w:r>
      <w:r>
        <w:rPr>
          <w:rFonts w:ascii="Times New Roman" w:hAnsi="Times New Roman"/>
          <w:i/>
          <w:sz w:val="20"/>
        </w:rPr>
        <w:t>Liquidity and Going Concern</w:t>
      </w:r>
      <w:r>
        <w:rPr>
          <w:rFonts w:ascii="Times New Roman" w:hAnsi="Times New Roman"/>
          <w:sz w:val="20"/>
        </w:rPr>
        <w:t xml:space="preserve">” of the notes to our annual and interim financial statements, respectively, included elsewhere in the Registration Statement of which this prospectus forms a part for additional information. Our existing cash and cash equivalents may be insufficient to enable us to fund our operating expenses and capital expenditure requirements for at least the next 12 months. If these sources are insufficient to satisfy our liquidity requirements, we may seek to raise additional funds through equity offerings, debt financings, collaborations, government contracts or other strategic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have promissory notes totaling $4.5 million, all of which are due in less than a year.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have a long-term related party loan totaling $5.3 million due to Scilex.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each of the periods presented (in thousands): </w:t>
      </w:r>
    </w:p>
    <w:p>
      <w:pPr>
        <w:pStyle w:val="TextBody"/>
        <w:bidi w:val="0"/>
        <w:spacing w:before="0" w:after="0"/>
        <w:jc w:val="left"/>
        <w:rPr/>
      </w:pPr>
      <w:r>
        <w:rPr/>
        <w:t> </w:t>
      </w:r>
    </w:p>
    <w:tbl>
      <w:tblPr>
        <w:tblW w:w="7942" w:type="dxa"/>
        <w:jc w:val="left"/>
        <w:tblInd w:w="0" w:type="dxa"/>
        <w:tblLayout w:type="fixed"/>
        <w:tblCellMar>
          <w:top w:w="0" w:type="dxa"/>
          <w:left w:w="0" w:type="dxa"/>
          <w:bottom w:w="0" w:type="dxa"/>
          <w:right w:w="0" w:type="dxa"/>
        </w:tblCellMar>
      </w:tblPr>
      <w:tblGrid>
        <w:gridCol w:w="4490"/>
        <w:gridCol w:w="120"/>
        <w:gridCol w:w="159"/>
        <w:gridCol w:w="721"/>
        <w:gridCol w:w="176"/>
        <w:gridCol w:w="136"/>
        <w:gridCol w:w="159"/>
        <w:gridCol w:w="721"/>
        <w:gridCol w:w="155"/>
        <w:gridCol w:w="120"/>
        <w:gridCol w:w="147"/>
        <w:gridCol w:w="668"/>
        <w:gridCol w:w="170"/>
      </w:tblGrid>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and cash equivalents (used for) provided by:</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(2,262</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(3,484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1,222</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2,335</w:t>
            </w:r>
          </w:p>
        </w:tc>
        <w:tc>
          <w:tcPr>
            <w:tcW w:w="1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3,485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(1,150</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721" w:type="dxa"/>
            <w:tcBorders/>
            <w:vAlign w:val="center"/>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single" w:sz="2" w:space="1" w:color="000000"/>
              </w:pBdr>
              <w:bidi w:val="0"/>
              <w:spacing w:before="0" w:after="0"/>
              <w:jc w:val="left"/>
              <w:rPr/>
            </w:pPr>
            <w:r>
              <w:rPr/>
              <w:t> </w:t>
            </w:r>
          </w:p>
        </w:tc>
        <w:tc>
          <w:tcPr>
            <w:tcW w:w="72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73</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w:t>
            </w:r>
          </w:p>
        </w:tc>
        <w:tc>
          <w:tcPr>
            <w:tcW w:w="721"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double" w:sz="6" w:space="1" w:color="000000"/>
              </w:pBdr>
              <w:bidi w:val="0"/>
              <w:spacing w:before="0" w:after="0"/>
              <w:jc w:val="left"/>
              <w:rPr/>
            </w:pPr>
            <w:r>
              <w:rPr/>
              <w:t> </w:t>
            </w:r>
          </w:p>
        </w:tc>
        <w:tc>
          <w:tcPr>
            <w:tcW w:w="721" w:type="dxa"/>
            <w:tcBorders/>
            <w:vAlign w:val="center"/>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pBdr>
                <w:top w:val="double" w:sz="6" w:space="1" w:color="000000"/>
              </w:pBdr>
              <w:bidi w:val="0"/>
              <w:spacing w:before="0" w:after="0"/>
              <w:jc w:val="left"/>
              <w:rPr/>
            </w:pPr>
            <w:r>
              <w:rPr/>
              <w:t> </w:t>
            </w:r>
          </w:p>
        </w:tc>
        <w:tc>
          <w:tcPr>
            <w:tcW w:w="72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496" w:type="dxa"/>
        <w:jc w:val="left"/>
        <w:tblInd w:w="0" w:type="dxa"/>
        <w:tblLayout w:type="fixed"/>
        <w:tblCellMar>
          <w:top w:w="0" w:type="dxa"/>
          <w:left w:w="0" w:type="dxa"/>
          <w:bottom w:w="0" w:type="dxa"/>
          <w:right w:w="0" w:type="dxa"/>
        </w:tblCellMar>
      </w:tblPr>
      <w:tblGrid>
        <w:gridCol w:w="4490"/>
        <w:gridCol w:w="120"/>
        <w:gridCol w:w="208"/>
        <w:gridCol w:w="945"/>
        <w:gridCol w:w="230"/>
        <w:gridCol w:w="177"/>
        <w:gridCol w:w="208"/>
        <w:gridCol w:w="948"/>
        <w:gridCol w:w="170"/>
      </w:tblGrid>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and cash equivalents (used for) provided by:</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45"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(4,891</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(1,677</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4,891</w:t>
            </w:r>
          </w:p>
        </w:tc>
        <w:tc>
          <w:tcPr>
            <w:tcW w:w="23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1,661</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945" w:type="dxa"/>
            <w:tcBorders/>
            <w:vAlign w:val="center"/>
          </w:tcPr>
          <w:p>
            <w:pPr>
              <w:pStyle w:val="TableContents"/>
              <w:pBdr>
                <w:top w:val="single" w:sz="2"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94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4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948" w:type="dxa"/>
            <w:tcBorders/>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double" w:sz="6" w:space="1" w:color="000000"/>
              </w:pBdr>
              <w:bidi w:val="0"/>
              <w:spacing w:before="0" w:after="0"/>
              <w:jc w:val="left"/>
              <w:rPr/>
            </w:pPr>
            <w:r>
              <w:rPr/>
              <w:t> </w:t>
            </w:r>
          </w:p>
        </w:tc>
        <w:tc>
          <w:tcPr>
            <w:tcW w:w="945" w:type="dxa"/>
            <w:tcBorders/>
            <w:vAlign w:val="center"/>
          </w:tcPr>
          <w:p>
            <w:pPr>
              <w:pStyle w:val="TableContents"/>
              <w:pBdr>
                <w:top w:val="double" w:sz="6" w:space="1" w:color="000000"/>
              </w:pBdr>
              <w:bidi w:val="0"/>
              <w:spacing w:before="0" w:after="0"/>
              <w:jc w:val="left"/>
              <w:rPr/>
            </w:pPr>
            <w:r>
              <w:rPr/>
              <w:t> </w:t>
            </w:r>
          </w:p>
        </w:tc>
        <w:tc>
          <w:tcPr>
            <w:tcW w:w="23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double" w:sz="6" w:space="1" w:color="000000"/>
              </w:pBdr>
              <w:bidi w:val="0"/>
              <w:spacing w:before="0" w:after="0"/>
              <w:jc w:val="left"/>
              <w:rPr/>
            </w:pPr>
            <w:r>
              <w:rPr/>
              <w:t> </w:t>
            </w:r>
          </w:p>
        </w:tc>
        <w:tc>
          <w:tcPr>
            <w:tcW w:w="94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2025, net cash used in operating activities decreased by $1.2 million compared to the nine months ended September 30, 2024. The decrease primarily reflects higher accounts payable and accrued expenses as of September 30, 2025, which resulted in lower cash outflows for operating expenses during the current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net cash used for operating activities was approximately $4.9 million, attributable to our net loss of $4.7 million and changes in operating assets and liabilities that used $0.9 million of cash, partially offset by stock-based compensation of $0.7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net cash used for operating activities was approximately $1.7 million, attributable to our net loss of $3.3 million, partially offset by stock-based compensation of $0.8 million, and changes in operating assets and liabilities that provided $0.8 million of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2025, net cash provided by financing activities of $2.3 million was primarily due to proceeds from related party loans of $9.9 million offset by payment of deferred offering costs of $7.6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nine months ended September 30, 2024, net cash provided by financing activities of $3.5 million was due to proceeds from related party loans of $7.1 million offset by payment of deferred offering costs of $3.6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net cash provided by financing activities was $4.9 million and was due to $10.9 million of proceeds related to loans from Scilex, offset by $6.0 million of payments of deferred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net cash provided by financing activities was $1.7 million and was due to proceeds related to loans from Scilex.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management’s discussion and analysis of our financial condition and results of operations is based upon our financial statements which are prepared in accordance with U.S. GAAP. The preparation of these financial statements requires us to make estimates and judgments that affect the reported amounts of assets and liabilities and the reported amounts of operating expenses during the reporting period. We continually evaluate our estimates and judgments and base them on historical experience and other factors that we believe to be reasonable under the circumstances. Materially different results may occur as circumstances change and additional information becomes known. </w:t>
      </w:r>
    </w:p>
    <w:p>
      <w:pPr>
        <w:pStyle w:val="TextBody"/>
        <w:bidi w:val="0"/>
        <w:spacing w:before="240" w:after="0"/>
        <w:jc w:val="left"/>
        <w:rPr>
          <w:rFonts w:ascii="Times New Roman" w:hAnsi="Times New Roman"/>
          <w:sz w:val="20"/>
        </w:rPr>
      </w:pPr>
      <w:r>
        <w:rPr>
          <w:rFonts w:ascii="Times New Roman" w:hAnsi="Times New Roman"/>
          <w:sz w:val="20"/>
        </w:rPr>
        <w:t>While our significant accounting policies are described in greater detail in Note 3 titled “</w:t>
      </w:r>
      <w:r>
        <w:rPr>
          <w:rFonts w:ascii="Times New Roman" w:hAnsi="Times New Roman"/>
          <w:i/>
          <w:sz w:val="20"/>
        </w:rPr>
        <w:t>Significant Accounting Policies</w:t>
      </w:r>
      <w:r>
        <w:rPr>
          <w:rFonts w:ascii="Times New Roman" w:hAnsi="Times New Roman"/>
          <w:sz w:val="20"/>
        </w:rPr>
        <w:t xml:space="preserve">” of our annual financial statements included in this prospectus, we believe the following accounting policies and estimates are most critical to aid in understanding and evaluating our reported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The preparation of these financial statements in conformity with U.S. GAAP requires us to make estimates and assumptions that include, but are not limited to certain assumptions used to calculate the fair value of Scilex stock option awards, as well as percentage of time certain Scilex employees spent supporting our SP-102 program, which is used to calculate the amount of operating expenses allocated from Scilex as discussed in the section “</w:t>
      </w:r>
      <w:r>
        <w:rPr>
          <w:rFonts w:ascii="Times New Roman" w:hAnsi="Times New Roman"/>
          <w:i/>
          <w:sz w:val="20"/>
        </w:rPr>
        <w:t>Carve-Out Method”</w:t>
      </w:r>
      <w:r>
        <w:rPr>
          <w:rFonts w:ascii="Times New Roman" w:hAnsi="Times New Roman"/>
          <w:sz w:val="20"/>
        </w:rPr>
        <w:t xml:space="preserve"> in Note 1 titled “</w:t>
      </w:r>
      <w:r>
        <w:rPr>
          <w:rFonts w:ascii="Times New Roman" w:hAnsi="Times New Roman"/>
          <w:i/>
          <w:sz w:val="20"/>
        </w:rPr>
        <w:t>Nature of Operations and Basis of Presentation</w:t>
      </w:r>
      <w:r>
        <w:rPr>
          <w:rFonts w:ascii="Times New Roman" w:hAnsi="Times New Roman"/>
          <w:sz w:val="20"/>
        </w:rPr>
        <w:t xml:space="preserve">” of our financial statements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stock-based compensation in accordance with ASC Topic 718, </w:t>
      </w:r>
      <w:r>
        <w:rPr>
          <w:rFonts w:ascii="Times New Roman" w:hAnsi="Times New Roman"/>
          <w:i/>
          <w:sz w:val="20"/>
        </w:rPr>
        <w:t>Compensation – Stock Compensation</w:t>
      </w:r>
      <w:r>
        <w:rPr>
          <w:rFonts w:ascii="Times New Roman" w:hAnsi="Times New Roman"/>
          <w:sz w:val="20"/>
        </w:rPr>
        <w:t xml:space="preserve"> which establishes accounting for equity instruments exchanged for employee and consulting services. </w:t>
      </w:r>
    </w:p>
    <w:p>
      <w:pPr>
        <w:pStyle w:val="TextBody"/>
        <w:bidi w:val="0"/>
        <w:spacing w:before="240" w:after="0"/>
        <w:jc w:val="left"/>
        <w:rPr>
          <w:rFonts w:ascii="Times New Roman" w:hAnsi="Times New Roman"/>
          <w:sz w:val="20"/>
        </w:rPr>
      </w:pPr>
      <w:r>
        <w:rPr>
          <w:rFonts w:ascii="Times New Roman" w:hAnsi="Times New Roman"/>
          <w:sz w:val="20"/>
        </w:rPr>
        <w:t xml:space="preserve">We did not have our own equity incentive plans for the years ended December 31, 2024 and 2023, other than the 2024 Stock Option Plan described below. However, certain shared employees of Scilex who provide services and support activities related to us, also participate in Scilex’s stock-based compensation plans. The stock-based compensation for such employees is allocated and attributed to our financial statements based on the estimated percentage of their time spent supporting the SP-102 program.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2024, our board of directors adopted the 2024 Stock Option Plan and approved the grant of Non-statutory Stock Options (“NSOs”) to the members of our executive team and certain shared employees of Scilex, who provide services and support activities related to us, to purchase an aggregate of 40,000,000 shares of our Common Stock initially at an exercise price of $1.24 per share, which was then updated to $1.58 per share on December 28, 2024 to reflect the updated per share value of the Company’s Common Stock as of August 30,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We account for forfeitures as incurred.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inputs used in the calculation of stock-based compensation, we determine the expected life assumption for options issued using the simplified method, which is an average of the contractual term of the option and its ordinary vesting period since we do not have historic exercise behavior. We determine an estimate of option volatility based on an assessment of historical volatilities of comparable companies whose share prices are publicly available. We use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our statement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There have been no changes to our discussion of recent accounting pronouncements as described in Note 3 titled “</w:t>
      </w:r>
      <w:r>
        <w:rPr>
          <w:rFonts w:ascii="Times New Roman" w:hAnsi="Times New Roman"/>
          <w:i/>
          <w:sz w:val="20"/>
        </w:rPr>
        <w:t>Significant Accounting Policies”</w:t>
      </w:r>
      <w:r>
        <w:rPr>
          <w:rFonts w:ascii="Times New Roman" w:hAnsi="Times New Roman"/>
          <w:sz w:val="20"/>
        </w:rPr>
        <w:t xml:space="preserve"> of the notes to our annual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240" w:after="0"/>
        <w:jc w:val="left"/>
        <w:rPr>
          <w:rFonts w:ascii="Times New Roman" w:hAnsi="Times New Roman"/>
          <w:sz w:val="20"/>
        </w:rPr>
      </w:pPr>
      <w:r>
        <w:rPr>
          <w:rFonts w:ascii="Times New Roman" w:hAnsi="Times New Roman"/>
          <w:sz w:val="20"/>
        </w:rPr>
        <w:t xml:space="preserve">As a “smaller reporting company” as defined by Item 10 of Regulation S-K, we are not required to provide the information otherwise required under Item 305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have, during the periods presented, and we do not currently have, any off-balance sheet arrangements, as defined under applicable SEC rules, other than as discussed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Subsidiary Guarantee to Oramed Note </w:t>
      </w:r>
    </w:p>
    <w:p>
      <w:pPr>
        <w:pStyle w:val="TextBody"/>
        <w:bidi w:val="0"/>
        <w:spacing w:before="120" w:after="0"/>
        <w:jc w:val="left"/>
        <w:rPr>
          <w:rFonts w:ascii="Times New Roman" w:hAnsi="Times New Roman"/>
          <w:sz w:val="20"/>
        </w:rPr>
      </w:pPr>
      <w:r>
        <w:rPr>
          <w:rFonts w:ascii="Times New Roman" w:hAnsi="Times New Roman"/>
          <w:sz w:val="20"/>
        </w:rPr>
        <w:t>On September 21, 2023, Scilex entered into, and consummated the transactions contemplated by, a Securities Purchase Agreement (the “Scilex-Oramed SPA”) with Oramed and the Agent (as defined below), pursuant to which, among other things, Scilex issued to Oramed the Oramed Note. In connection with the Scilex-Oramed SPA, Scilex and each of its subsidiaries, including the Company (collectively, the “Guarantors”), entered into a subsidiary guarantee (as amended, the “Subsidiary Guarantee”) with Oramed and Acquiom Agency Services LLC, as the collateral agent for the holders of the Oramed Note (the “Agent”), pursuant to which, the Guarantors have agreed to guarantee and act as surety for payment of the Oramed Note and any additional notes issued by Scilex in full or partial substitution of the Oramed Note. As of the consummation of the Business Combination, Semnur is no longer a Guarantor under the Subsidiary Guarantee.</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For a description of our related party transactions, see the section titled “</w:t>
      </w:r>
      <w:r>
        <w:rPr>
          <w:rFonts w:ascii="Times New Roman" w:hAnsi="Times New Roman"/>
          <w:i/>
          <w:sz w:val="20"/>
        </w:rPr>
        <w:t>Certain Relationships and Related Party Transactions</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An “emerging growth company” as defined in Section 2(a) of the Securities Act, as modified by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the rules of GAAP or their interpretation, the adoption of new guidance or the application of existing guidance to changes in our business could significantly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 to obtain an attestation and report from our auditors on the assessment of our internal control over financial reporting pursuant to the Sarbanes-Oxley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any new requirements adopted by the Public Company Accounting Oversight Board requiring mandatory audit firm rotation;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qualify and will remain as an emerging growth company until the earlier of (i) the last day of the fiscal year (a) following the fifth anniversary of the closing of the IPO, (b) in which Semnur has total annual gross revenue of at least $1.235 billion, or (c) in which Semnur is deemed to be a large accelerated filer, which means the market value of the common equity of Semnur that is held by non-affiliates equals or exceeds $700 million as of the last business day of its most recently completed second fiscal quarter; and (ii) the date on which New Semnur has issued more than $1.00 billion in non-convertible debt securities during the prior three-year period. References herein to “emerging growth company” have the meaning associated with it in the JOBS Act. </w:t>
      </w:r>
    </w:p>
    <w:p>
      <w:pPr>
        <w:pStyle w:val="TextBody"/>
        <w:bidi w:val="0"/>
        <w:spacing w:before="360" w:after="0"/>
        <w:jc w:val="left"/>
        <w:rPr>
          <w:rFonts w:ascii="Times New Roman" w:hAnsi="Times New Roman"/>
          <w:b/>
          <w:sz w:val="20"/>
        </w:rPr>
      </w:pPr>
      <w:r>
        <w:rPr>
          <w:rFonts w:ascii="Times New Roman" w:hAnsi="Times New Roman"/>
          <w:b/>
          <w:sz w:val="20"/>
        </w:rPr>
        <w:t xml:space="preserve">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Smaller reporting companies may take advantage of certain reduced disclosure obligations, including, among other things, providing only two years of audited financial statements. Semnur qualifies and will remain a smaller reporting company as defined in Item 10(f)(1) of Regulation S-K because Semnur has annual revenues of less than $100 million and has a public float of less than $250 million as of the last business day of its most recently completed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63562_11"/>
      <w:bookmarkEnd w:id="12"/>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(10 mg, dexamethasone sodium phosphate viscous gel), if approved, has the potential to become the first FDA-approved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 </w:t>
      </w:r>
    </w:p>
    <w:p>
      <w:pPr>
        <w:pStyle w:val="TextBody"/>
        <w:bidi w:val="0"/>
        <w:spacing w:before="240" w:after="0"/>
        <w:jc w:val="left"/>
        <w:rPr>
          <w:rFonts w:ascii="Times New Roman" w:hAnsi="Times New Roman"/>
          <w:sz w:val="20"/>
        </w:rPr>
      </w:pPr>
      <w:r>
        <w:rPr>
          <w:rFonts w:ascii="Times New Roman" w:hAnsi="Times New Roman"/>
          <w:sz w:val="20"/>
        </w:rPr>
        <w:t xml:space="preserve">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We are developing SP-102 to be an injectable viscous gel formulation of a widely used corticosteroid designed to address the serious risks posed by off-label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 According to a report by Decision Resources Group published in May 2017, it was estimated that over 4.8 million patients would suffer from sciatica in the United States in 2024. </w:t>
      </w:r>
    </w:p>
    <w:p>
      <w:pPr>
        <w:pStyle w:val="TextBody"/>
        <w:bidi w:val="0"/>
        <w:spacing w:before="240" w:after="0"/>
        <w:jc w:val="left"/>
        <w:rPr>
          <w:rFonts w:ascii="Times New Roman" w:hAnsi="Times New Roman"/>
          <w:sz w:val="20"/>
        </w:rPr>
      </w:pPr>
      <w:r>
        <w:rPr>
          <w:rFonts w:ascii="Times New Roman" w:hAnsi="Times New Roman"/>
          <w:sz w:val="20"/>
        </w:rPr>
        <w:t xml:space="preserve">Semnur was founded in 2013 and we have invested substantial efforts and financial resources on building our intellectual property portfolio and infrastructure. We have conducted pharmacokinetic (“PK”) and toxicology studies, including a Phase 1 PK bridging study, Phase 2 repeat dose study, and a pivotal Phase 3 study. We were acquired by Scilex on March 18, 2019, pursuant to, and in connection with the transactions contemplated by, an Agreement and Plan of Merger between Scilex, us, Sigma Merger Sub, Inc., Scilex’s then wholly owned subsidiary (“Sigma Merger Sub”), Fortis Advisors LLC, solely as representative of the holders of our equity (the “Semnur Equityholders’ Representative”), and Sorrento Therapeutics, Inc. (“Sorrento”), for limited purposes (as amended, the “Semnur Merger Agreement”). We expect to continue to make investments in research and development, clinical trials and regulatory affairs to develop our product candidate, SP-102. </w:t>
      </w:r>
    </w:p>
    <w:p>
      <w:pPr>
        <w:pStyle w:val="TextBody"/>
        <w:bidi w:val="0"/>
        <w:spacing w:before="240" w:after="0"/>
        <w:jc w:val="left"/>
        <w:rPr>
          <w:rFonts w:ascii="Times New Roman" w:hAnsi="Times New Roman"/>
          <w:sz w:val="20"/>
        </w:rPr>
      </w:pPr>
      <w:r>
        <w:rPr>
          <w:rFonts w:ascii="Times New Roman" w:hAnsi="Times New Roman"/>
          <w:sz w:val="20"/>
        </w:rPr>
        <w:t xml:space="preserve">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The primary endpoint of change in average daily Numeric Pain Rating Scale (“NPRS”) pain in the affected leg over four weeks demonstrated meaningful and statistically significant result over placebo, least square (LS) mean treatment difference (standard error [SE]) of -0.52 (0.163) units [95% confidence interval [CI]: -0.84, -0.20] compared to placebo (P=0.002).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Most of the secondary endpoints at four weeks also demonstrated statistically significant results, supporting the primary outcome. For the key secondary endpoint of mean change in Oswestry Disability Index (“ODI”) from baseline, the LS mean treatment difference (SE) for SP-102 was -3.38 (1.388) units [95% CI: -6.11, -0.65] compared to placebo (P=0.015). SP-102 treatment resulted in a -8.88 point reduction from baseline, which exceeds the established minimal clinically important difference of -8. </w:t>
      </w:r>
    </w:p>
    <w:p>
      <w:pPr>
        <w:pStyle w:val="TextBody"/>
        <w:bidi w:val="0"/>
        <w:spacing w:before="240" w:after="0"/>
        <w:jc w:val="left"/>
        <w:rPr>
          <w:rFonts w:ascii="Times New Roman" w:hAnsi="Times New Roman"/>
          <w:sz w:val="20"/>
        </w:rPr>
      </w:pPr>
      <w:r>
        <w:rPr>
          <w:rFonts w:ascii="Times New Roman" w:hAnsi="Times New Roman"/>
          <w:sz w:val="20"/>
        </w:rPr>
        <w:t xml:space="preserve">Based on the results of this study,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 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Based on such guidance, we designed an open-label multi-center safety and efficacy trial, which we had expected to commence in the first half of 2024 and in which we would seek to enroll approximately 700 patients with moderate-to-severe LRP requiring an epidural steroid injection. In that trial, we expected to administer SP-102 in up to three injections during a six-month observation period. In February 2024, we had a Type D meeting with the FDA to preview the design of such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Based on this feedback, we have instead designed a Phase 3 CLEAR-2 trial, which is expected to be a randomized, active comparator and placebo-controlled, multi-center, safety and efficacy study of SP-102 in subjects with moderate to severe LRP enrolling approximately 700 patients to receive an open-label initial injection, and randomizing approximately 200 subjects to the second phase of repeat injection. The primary and key secondary endpoints of the CLEAR-2 trial are consistent with those used in the CLEAR-1 trial, including (i) average daily NPRS pain in the affected leg over four weeks following the initial injection of SP-102 and (ii) Oswestry Disability Index at four weeks following injection of SP-102 or placebo. We have also optimized certain secondary endpoints to capture additional potential clinical benefits of SP-102. We are currently manufacturing the clinical materials necessary to perform the additional Phase 3 CLEAR-2 study and expect to commence such trial in the second half of 2025. Given our experience from conducting the Phase 3 CLEAR-1 study, we expect to be able to complete the trial by mid-2026 and submit our 505(b)(2) NDA to the FDA for approval. If approved, and given SP-102’s fast-track designation, this would position us to achieve our targeted commercial launch of SP-102 in the second half of 2027. Except as described above, as of the date of this prospectus, we have not yet pursued any additional substantive development of SP-102. </w:t>
      </w:r>
    </w:p>
    <w:p>
      <w:pPr>
        <w:pStyle w:val="TextBody"/>
        <w:bidi w:val="0"/>
        <w:spacing w:before="240" w:after="0"/>
        <w:jc w:val="left"/>
        <w:rPr>
          <w:rFonts w:ascii="Times New Roman" w:hAnsi="Times New Roman"/>
          <w:sz w:val="20"/>
        </w:rPr>
      </w:pPr>
      <w:r>
        <w:rPr>
          <w:rFonts w:ascii="Times New Roman" w:hAnsi="Times New Roman"/>
          <w:sz w:val="2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FDCA for our product candidate.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vision is to become the leading pain management company delivering novel non-opioid and non-addictive treatments to provide safe, effective and durable relief of multiple pain conditions. To accomplish this, the principal elements of our strategy are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Develop SP-102 as a novel epidural injection for the first approved treatment of sciatica.</w:t>
            </w:r>
            <w:r>
              <w:rPr>
                <w:rFonts w:ascii="Times New Roman" w:hAnsi="Times New Roman"/>
                <w:sz w:val="20"/>
              </w:rPr>
              <w:t xml:space="preserve"> We are developing SP-102 to address the limitations associated with the available corticosteroid epidural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injectable products that are used off-label. Many of these products contain potentially neurotoxic preservatives and particulates and are administered over 12 million times annually despite a warning on the label of serious neurologic complications, including loss of vision, stroke, paralysis and death. These products carry warnings required by the FDA that the safety and efficacy of epidural administration has not been established. SP-102 has received fast track designation from the FDA and, if approved, could become the first FDA-approved epidural steroid product with long-term patent protection, which we also believe would create significant barriers to entry. Although such designation has been granted, it may not lead to a faster development or regulatory review process and such designation does not increase the likelihood that SP-102 will receive marketing approval. Due to the novelty of our formulation as well as the associated patents and trade secrets, future potential competitors could be required to conduct extensive preclinical studies and costly comparative clinical trials. A full six-month data analysis was completed in February 2022 and we have completed a pivotal Phase 3 study with final results received in March 2022, which results reflect achievement of primary and secondary endpoints. We have extensive clinical and preclinical data (including those obtained from multiple Phase 2 clinical trials) with the novel viscous gel formulation of SP-102. The Phase 3 study results were published in PAIN® Journal in June 2024 and we also presented the pivotal Phase 3 trial results at the American Society of Interventional Pain Physicians annual meeting in Las Vegas, Nevada in May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SP-102 may be the first FDA approved ESI indicated for sciatica.</w:t>
            </w:r>
            <w:r>
              <w:rPr>
                <w:rFonts w:ascii="Times New Roman" w:hAnsi="Times New Roman"/>
                <w:sz w:val="20"/>
              </w:rPr>
              <w:t xml:space="preserve"> Based on the Phase 3 results, we anticipate being able to show advantages of SP-102 compared to existing steroid formulations. We anticipate that SP-102 may have longer duration of clinical benefit compared to generic dexamethasone formulation. The currently used off-label dexamethasone formulation does not have proven efficacy. Pain specialists who have used current dexamethasone formulation believe the efficacy lasts for a short period of time. We expect the clinical benefit of SP-102 to last up to approximately 100 days. Clinical benefit lasting approximately 100 days will reduce the number of procedures patients need and save the health care system valuable resources. Other steroid formulations currently used are suspension steroid formulations. Suspension steroids can cause serious safety concerns such as paraplegia, stroke, paralysis and death, as reflected in FDA class label warning. We expect SP-102 to have proven tolerability based on data from our preclinical and clinical trials. Our reimbursement team will file for a separate J code for SP-102. Once a product receives a special J code, customers will be reimbursed for the product. We have experienced account executives who will follow the process to file for the special J code prior to the launch, which we expected to be granted within two to three quarters after launch. We believe this will facilitate faster uptake in revenue for SP-102 following FDA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Capitalize on the potential market as back pain affects most adults, causes disability for some, and is a common reason for seeking healthcare.</w:t>
            </w:r>
            <w:r>
              <w:rPr>
                <w:rFonts w:ascii="Times New Roman" w:hAnsi="Times New Roman"/>
                <w:sz w:val="20"/>
              </w:rPr>
              <w:t xml:space="preserve"> In the United States, opioid prescriptions for low back pain have increased, and opioids are now the most commonly prescribed drug class. According to the British Medical Journal 2015, more than half of regular opioid users report back pain. Rates of opioid prescribing in the United States and Canada are two to three times higher than those in most European countries. 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to decrease the use of opioids.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 our product portfolio by developing or acquiring non-opioid assets that leverage our existing research and development infrastructure</w:t>
            </w:r>
            <w:r>
              <w:rPr>
                <w:rFonts w:ascii="Times New Roman" w:hAnsi="Times New Roman"/>
                <w:sz w:val="20"/>
              </w:rPr>
              <w:t xml:space="preserve">. We are continuously evaluating opportunities to leverage our research and development experience to develop non-opioid therapeutics for pain management indications that are not adequately served with existing treatment options. Plans for expansion of our product portfolio include investing in early and late-stage research programs to develop our pipeline and capabilities by selectively acquiring highly differentiated technologies, investing in technologies to prepare for commercialization, evaluating strategic partnerships to improve patient experience or enable greater patient access, and opportunistically pursuing strategic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and collaborations to maximize the value of our pipeline and platform technologies. We also seek to in-license non-opioid therapeutics that can both complement our existing product portfolio and benefit from our existing research and development infrastructure.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Leverage the robust and integrated commercial infrastructure and dedicated sales force and sales management, marketing, medical affairs, managed care capabilities, manufacturing and general administration functions of our parent company, Scilex, to commercialize our current and future product candidates, if approved.</w:t>
            </w:r>
            <w:r>
              <w:rPr>
                <w:rFonts w:ascii="Times New Roman" w:hAnsi="Times New Roman"/>
                <w:sz w:val="20"/>
              </w:rPr>
              <w:t xml:space="preserve"> Scilex has successfully launched three commercial non-opioid pain management products in the past five years by using its in-house sales force of over 70 representatives, who typically have over 10 years of experience in promoting a broad scope of pain management products, as our current and future product candidates are commercialized. Scilex’s three marketed non-opioid pain products have given the Scilex team the opportunity to interact with the key physician audiences for SP-102, while promoting ZTlido, one of Scilex’s commercial products, and building rapport with the future prescribers as Scilex looks to partner with us for SP-102’s commercial launch. Scilex’s sales representatives leverage their established relationships with pain management healthcare professionals (“HCPs”) to call on over 10,000 target pain specialists, neurologists, select health care providers and we believe these same call points that are providing treatment for sciatica that could benefit from SP-102, if approved. Scilex launched ZTlido in the fourth quarter of 2018 with an integrated internal commercial organization and we believe that Scilex’s differentiated and focused team, combined with its competitive national accounts strategy and active direct marketing and medical efforts have driven, and will continue to drive, accelerated sales growth for Scilex products and in the future can drive market uptake for our pain product candidates, including SP-102. Currently we have approximately 12 contractors and consultants, in addition to four full-time employees from Scilex dedicated to our product candidate, SP-102. In connection with the closing of the Business Combination, we will enter into the Transition Services Agreement with Scilex, pursuant to which we will be able to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During the transition period and leveraging Scilex’s infrastructure, we will be able to develop our own infrastructure with Scilex’s continued support and as we enter the final stages of development and pre-launch commercialization planning, we plan to increase the number of full time employees to strengthen our research and development, general administrative, manufacturing, regulatory and commercial functions. The term of the Transition Services Agreement will be three years from the closing of the Business Combination, which we believe is sufficient time for us to develop our commercial infrastructure and other business functions. See the section titled “</w:t>
            </w:r>
            <w:r>
              <w:rPr>
                <w:rFonts w:ascii="Times New Roman" w:hAnsi="Times New Roman"/>
                <w:i/>
                <w:sz w:val="20"/>
              </w:rPr>
              <w:t>Risk Factors — Risks Related to Semnur’s Relationship with Scilex — Scilex currently performs or supports many important corporate functions for our company. Our financial statements for the fiscal years ended December 31, 2023 and 2022 reflect charges for these services on an allocation basis. As a result, our historical financial statements may not be reflective of conditions that would have existed or what our results of operations would have been had we been a stand-alone public company and no longer a majority owned subsidiary of Scilex”</w:t>
            </w:r>
            <w:r>
              <w:rPr>
                <w:rFonts w:ascii="Times New Roman" w:hAnsi="Times New Roman"/>
                <w:sz w:val="20"/>
              </w:rPr>
              <w:t xml:space="preserve"> Upon completion of the Phase 3 CLEAR-2 trial by mid-2026, we will commence the preparation work for the mass production of SP-102. Leveraging Scilex’s commercial infrastructure, upon approval by the FDA, we intend to initiate negotiations with national insurance companies, as well as Medicare and Medicaid, to secure inclusion of SP-102 in their programs. In addition, we plan to enter into a distribution agreement with a major third-party logistic provider for warehousing and distribution of SP-102 as it approaches the NDA approval stage. Utilizing Scilex’s experience and support, we have established cross-functional launch teams and developed a detailed launch playbook to guide the efforts towards a successful product launch. For a brief summary of the launch activities and timelines, please refer to the section titled “</w:t>
            </w:r>
            <w:r>
              <w:rPr>
                <w:rFonts w:ascii="Times New Roman" w:hAnsi="Times New Roman"/>
                <w:i/>
                <w:sz w:val="20"/>
              </w:rPr>
              <w:t>Business of Semnur – Sales and Marketing</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Leverage our management team’s experience to further develop and commercialize our current and future product portfolio</w:t>
            </w:r>
            <w:r>
              <w:rPr>
                <w:rFonts w:ascii="Times New Roman" w:hAnsi="Times New Roman"/>
                <w:sz w:val="20"/>
              </w:rPr>
              <w:t xml:space="preserve">. Leverage our management team’s experience to further develop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commercialize our current and future product portfolio. Our management team has held senior positions at leading biopharmaceutical companies, including Allergan, Inc., Bristol-Myers Squibb Company, Teva Pharmaceuticals Industries Ltd., Novartis Pharmaceuticals Corporation, Ardelyx, Inc., Pfizer Inc., Johnson and Johnson, Cephalon, Inc., Roche AG, PDL BioPharma, Inc., Xenoport, Inc. and Chiron Corp. Our team has substantial experience in rapidly progressing new drug products to clinical proof of concept, completing successful pivotal registration programs and successfully commercializing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innovative non-opioid product portfolio has the potential to provide effective pain management therapies that can have a transformative impact on patients’ lives. </w:t>
      </w:r>
    </w:p>
    <w:p>
      <w:pPr>
        <w:pStyle w:val="TextBody"/>
        <w:bidi w:val="0"/>
        <w:spacing w:before="360" w:after="0"/>
        <w:jc w:val="left"/>
        <w:rPr>
          <w:rFonts w:ascii="Times New Roman" w:hAnsi="Times New Roman"/>
          <w:b/>
          <w:sz w:val="20"/>
        </w:rPr>
      </w:pPr>
      <w:r>
        <w:rPr>
          <w:rFonts w:ascii="Times New Roman" w:hAnsi="Times New Roman"/>
          <w:b/>
          <w:sz w:val="20"/>
        </w:rPr>
        <w:t xml:space="preserve">Our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has extensive experience in the pain and neurology center marketplace and a track record of successfully commercializing pain management and central nervous system products, which helps us in aiming to ensure that our current and future product candidates, pipeline programs, and partnerships in the marketplace are consistently of the highest quality.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is led by our Chief Executive Officer and President, Jaisim Shah, with strategic guidance from our executive director, Henry Ji, Ph.D. They collectively have over 60 years of global biopharmaceutical and biotechnology experience. </w:t>
      </w:r>
    </w:p>
    <w:p>
      <w:pPr>
        <w:pStyle w:val="TextBody"/>
        <w:bidi w:val="0"/>
        <w:spacing w:before="240" w:after="0"/>
        <w:jc w:val="left"/>
        <w:rPr>
          <w:rFonts w:ascii="Times New Roman" w:hAnsi="Times New Roman"/>
          <w:sz w:val="20"/>
        </w:rPr>
      </w:pPr>
      <w:r>
        <w:rPr>
          <w:rFonts w:ascii="Times New Roman" w:hAnsi="Times New Roman"/>
          <w:sz w:val="20"/>
        </w:rPr>
        <w:t xml:space="preserve">Jaisim Shah has over 30 years of industry success in leading product development and commercializing innovative therapies and creating companies, with documented success in development and commercialization of some of today’s most recognized pharmaceutical brands. He is a seasoned life science executive and board director with extensive accomplishments at Scilex, Bristol-Myers Squibb, Roche, PDL Biopharma, Pfizer, and start-ups such as Elevation. Mr. Shah has served as our Chief Executive Officer and President since our inception in 2013. He also previously served as Scilex’s President, Chief Executive Officer from March 2019 through August 2025, and a board member of Scilex from March 2019 through September 2025 and as a member of the board of directors of Scilex Pharmaceuticals, Inc., Scilex’s wholly owned subsidiary (“Scilex Pharma”), since November 2016. Mr. Shah served as Chief Business Officer of Elevation Pharmaceuticals where he focused on financing, business strategy, mergers and acquisitions, and business development. He led the sale of Elevation to Sunovion Pharmaceuticals in 2012. At Facet Biotech and PDL BioPharma, he served from 2000 to 2009 as Chief Business Officer and also held the position of senior vice president of marketing and medical affairs. During this time, he completed numerous licensing/partnering and strategic transactions including with Roche, Bristol-Myers Squibb, Otsuka, and Biogen Idec. His leadership in marketing and portfolio management, including leading the commercial enterprise, helped the company make large improvements to meet its profitability potential. At Bristol-Myers Squibb, as vice president of global marketing from 1997 to 2000, Mr. Shah received the “Presidents Award” for completing one of the most significant collaborations in the company’s history. He has played a key role in the formulation of long-range plans and pre-launch and launch strategies for brands such as Abilify®, Pegasys®, and Rituxan/MabThera®, each of which have generated well over $1 billion in sales. </w:t>
      </w:r>
    </w:p>
    <w:p>
      <w:pPr>
        <w:pStyle w:val="TextBody"/>
        <w:bidi w:val="0"/>
        <w:spacing w:before="240" w:after="0"/>
        <w:jc w:val="left"/>
        <w:rPr>
          <w:rFonts w:ascii="Times New Roman" w:hAnsi="Times New Roman"/>
          <w:sz w:val="20"/>
        </w:rPr>
      </w:pPr>
      <w:r>
        <w:rPr>
          <w:rFonts w:ascii="Times New Roman" w:hAnsi="Times New Roman"/>
          <w:sz w:val="20"/>
        </w:rPr>
        <w:t xml:space="preserve">Dr. Ji is the holder of several issued and pending patents in the life science research field. Our Chief Financial Officer, Stephen Ma, has more than 15 years of finance and operational expertise across pharmaceuticals and venture-backed biotechnology companies. Our research efforts are guided by highly experienced scientists and experts. Our management team contributes a diverse range of experiences from leading biopharmaceutical companies, including Allergan, Inc., Bristol-Myers Squibb Company, Teva Pharmaceuticals Industries Ltd., Novartis Pharmaceuticals Corporation, Ardelyx, Inc., Johnson and Johnson, Pfizer Inc., Cephalon, Inc., Roche AG, PDL BioPharma, Inc., Xenoport, Inc. and Chiron Corp. With this leadership, we believe we are well positioned to achieve our vision of becoming the leading pain management company delivering novel non-opioid and non-addictive treatments aiming to provide safe, effective and durable relief of multiple pain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are supported by impressive teams across all levels of the organization. We hire and develop world-class talent from diverse backgrounds in biopharma, academia, technology and finance to ensure we have all of the capabilities to design and deliver first-class pain management therapies. </w:t>
      </w:r>
    </w:p>
    <w:p>
      <w:pPr>
        <w:pStyle w:val="TextBody"/>
        <w:bidi w:val="0"/>
        <w:spacing w:before="360" w:after="0"/>
        <w:jc w:val="left"/>
        <w:rPr>
          <w:rFonts w:ascii="Times New Roman" w:hAnsi="Times New Roman"/>
          <w:sz w:val="20"/>
        </w:rPr>
      </w:pPr>
      <w:r>
        <w:rPr>
          <w:rFonts w:ascii="Times New Roman" w:hAnsi="Times New Roman"/>
          <w:b/>
          <w:sz w:val="20"/>
        </w:rPr>
        <w:t>Our Product Candidate —</w:t>
      </w:r>
      <w:r>
        <w:rPr>
          <w:rFonts w:ascii="Times New Roman" w:hAnsi="Times New Roman"/>
          <w:b/>
          <w:i/>
          <w:sz w:val="20"/>
        </w:rPr>
        <w:t>SP-102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SP-102 is a pivotal Phase 3, novel, injectable viscous gel formulation of a widely used corticosteroid for epidural injections to treat sciatica. No ESIs are currently approved by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Sciatica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A particularly debilitating complication of back pathology is sciatica, which is a condition caused by mechanical compression of the nerve root, or by the effects of inflammatory mediators arising from a degenerative disc that results in inflammation and damage to the nerve roots. This nerve root compression in the lumbar segment of the spine causes shock-like or burning LBP combined with pain radiating down along the sciatic nerve through the buttocks and down one leg, sometimes reaching the foot. This often severe and debilitating leg pain is usually associated with symptoms of neuropathy-like numbness and tingling. The estimated lifetime incidence of sciatica ranges from 13% to 40% of the U.S. population, and about one-third of these cases will develop symptoms lasting over a year. According to a report by Decision Resources Group, it was estimated that over 4.8 million patients would suffer from sciatica in the United States in 2024. </w:t>
      </w:r>
    </w:p>
    <w:p>
      <w:pPr>
        <w:pStyle w:val="TextBody"/>
        <w:bidi w:val="0"/>
        <w:spacing w:before="360" w:after="0"/>
        <w:jc w:val="left"/>
        <w:rPr>
          <w:rFonts w:ascii="Times New Roman" w:hAnsi="Times New Roman"/>
          <w:b/>
          <w:sz w:val="20"/>
        </w:rPr>
      </w:pPr>
      <w:r>
        <w:rPr>
          <w:rFonts w:ascii="Times New Roman" w:hAnsi="Times New Roman"/>
          <w:b/>
          <w:sz w:val="20"/>
        </w:rPr>
        <w:t xml:space="preserve">Market Opportunity for SP-102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assumed market for SP-102 is the U.S. ESI Market, with an average market growth rate of 3.6% through 2027 (as estimated by Syneos Health as part of its consulting assignment with Scilex in 2021 and Scilex internal market research, which takes into account Scilex’s anticipated promotional activities), with lower growth thereafter. Projections for SP-102 revenues assume receipt of regulatory approval in the first half of 2027 with commercial launch in the second half of 2027, a market size of approximately 12.0 million ESI procedures annually (based on Syneos Health’s analysis of prescription claims data), an average growth rate of 3.6% year- over-year through 2027 and lower growth thereafter, a maximum market share of approximately 33% of the U.S. ESI market (based on Syneos Health’s analogue assessment of other similar products in the applicable market and primary market research with healthcare professional specialists as well as Scilex’s assessment of the competitive landscape and that there are currently no FDA-approved ESI therapies for sciatica). Based on the independent market research conducted by Syneos Health in 2020 and 2021, given the potential substantial utilization of SP-102, by the 5th year of launch, sales of SP-102 in sciatica are projected to reach $1.5 billion to $2.0 billion annually. As of the date of this prospectus, SP-102 has not received regulatory approval. As disclosed elsewhere, we expect commercial launch in 2027 but there is no guarantee that we will be able to commence a commercial launch of SP-102 in 2027 or ever, as any such launch would be subject to regulatory approval, which we may not receive.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Current Treatment Landscape and Limitations of Existing Treatments </w:t>
      </w:r>
    </w:p>
    <w:p>
      <w:pPr>
        <w:pStyle w:val="TextBody"/>
        <w:bidi w:val="0"/>
        <w:spacing w:before="120" w:after="0"/>
        <w:jc w:val="left"/>
        <w:rPr>
          <w:rFonts w:ascii="Times New Roman" w:hAnsi="Times New Roman"/>
          <w:sz w:val="20"/>
        </w:rPr>
      </w:pPr>
      <w:r>
        <w:rPr>
          <w:rFonts w:ascii="Times New Roman" w:hAnsi="Times New Roman"/>
          <w:sz w:val="20"/>
        </w:rPr>
        <w:t xml:space="preserve">As the U.S. population ages, the incidence of sciatica and the need for interventions are expected to continue to increase. For example, from 2000 to 2018, ESIs in Medicare beneficiaries increased by more than 125%.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are numerous etiologies of sciatica, and therapies may differ based on the etiology, pain management interventions for sciatica are usually multi-modal. Among the pain management interventions, ESI is considered to be efficacious and has been widely used by physicians across multiple specialties, including anesthesiology, physical medicine and rehabilitation and pain medicine. However, there is no ESI therapy approved by the FDA for sciatica to date, and particulate formulations of glucocorticoids have been associated with severe adverse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with sciatica have a wide range of invasive and non-invasive treatment options. Surgical intervention options include vertebroplasty, spinal laminectomy, discectomy, microdiscectomy, foraminotomy, intradiscal electrothermal therapy, nucleoplasty, radiofrequency denervation, spinal fusion and artificial disc replacement. These options are generally the last line of treatment because they can result in prolonged recovery time, may not be successful in reducing pain or addressing the underlying cause, and may result in permanent loss of flexibility. For these reasons, less invasive interventions are usually implemented first. Less invasive interventions may include (i) nonpharmacological therapies such as physical therapy, stretching exercises, spinal manipulations or chiropractic therapy, traction, acupuncture, transcutaneous electrical nerve stimulation, and biofeedback; (ii) oral pharmaceutical therapies such as NSAIDs, muscle relaxants, opiates, antidepressants, and anticonvulsants; and (iii) injectable pharmaceutical therapies such as off-label use of ESIs or nerve blocks. </w:t>
      </w:r>
    </w:p>
    <w:p>
      <w:pPr>
        <w:pStyle w:val="TextBody"/>
        <w:bidi w:val="0"/>
        <w:spacing w:before="240" w:after="0"/>
        <w:jc w:val="left"/>
        <w:rPr>
          <w:rFonts w:ascii="Times New Roman" w:hAnsi="Times New Roman"/>
          <w:sz w:val="20"/>
        </w:rPr>
      </w:pPr>
      <w:r>
        <w:rPr>
          <w:rFonts w:ascii="Times New Roman" w:hAnsi="Times New Roman"/>
          <w:sz w:val="20"/>
        </w:rPr>
        <w:t xml:space="preserve">ESIs for various back pain syndromes are one of the most common procedures performed in the United States and lumbosacral radicular ESI procedures represent 88% of total ESI procedures. ESIs are used when a patient’s pain is inadequately controlled with oral pain medications, topical systems or interventions such as physical therapy. ESIs have demonstrated efficacy in reducing pain, restoring function, reducing the need for other health care and avoiding back surgery. However, in addition to not being FDA-approved for the treatment of sciatica, currently-used ESIs also present various risks and challenges. </w:t>
      </w:r>
    </w:p>
    <w:p>
      <w:pPr>
        <w:pStyle w:val="TextBody"/>
        <w:bidi w:val="0"/>
        <w:spacing w:before="240" w:after="0"/>
        <w:jc w:val="left"/>
        <w:rPr>
          <w:rFonts w:ascii="Times New Roman" w:hAnsi="Times New Roman"/>
          <w:sz w:val="20"/>
        </w:rPr>
      </w:pPr>
      <w:r>
        <w:rPr>
          <w:rFonts w:ascii="Times New Roman" w:hAnsi="Times New Roman"/>
          <w:sz w:val="20"/>
        </w:rPr>
        <w:t xml:space="preserve">When administering an ESI, many physicians use a particulate steroid (including methylprednisolone acetate, triamcinolone acetonide, or betamethasone sodium phosphate or betamethasone sodium acetate) instead of a non-particulate steroid (dexamethasone sodium phosphate) because early studies suggested that the duration of pain relief was longer with the particulates and fewer repeat injections were required, even though dexamethasone is considered an otherwise potent and therapeutically beneficial therapy. Particulate in injectable products is defined as extraneous undissolved particles present in injectable solution products. An example of such particulate is precipitate of insoluble drug product form, or suspended drug product particle. These steroid particles or their aggregates have at least two mechanisms for neurological damage: (1) they can act as emboli if injected into an artery and are of sufficient size to block small terminal arterioles supplying the brain or spinal cord; and (2) several particulate steroids have an immediate and massive effect on microvascular perfusion because of formation of red blood cell aggregates. These emboli can cause rare but catastrophic neurologic injuries including stroke and spinal cord injury that can result in increased pain, severe permanent disability or death. In addition, fungal meningitis has occurred from the injection of steroids manufactured in a compounding pharmacy that did not adhere to sterility standards. </w:t>
      </w:r>
    </w:p>
    <w:p>
      <w:pPr>
        <w:pStyle w:val="TextBody"/>
        <w:bidi w:val="0"/>
        <w:spacing w:before="240" w:after="0"/>
        <w:jc w:val="left"/>
        <w:rPr>
          <w:rFonts w:ascii="Times New Roman" w:hAnsi="Times New Roman"/>
          <w:sz w:val="20"/>
        </w:rPr>
      </w:pPr>
      <w:r>
        <w:rPr>
          <w:rFonts w:ascii="Times New Roman" w:hAnsi="Times New Roman"/>
          <w:sz w:val="20"/>
        </w:rPr>
        <w:t xml:space="preserve">The FDA has been evaluating serious neurologic events with ESIs since 2009, and in 2014, the FDA required a class warning on the currently off-label use of injectable corticosteroids to include information about the risk of serious neurologic events with ESIs. The warning on product labels for all injectable glucocorticoids states that the product is to be used for intramuscular or intravenous purposes only, and specifically includes a warning for serious neurologic adverse reactions with epidural administration. These serious neurologic events have been reported with and without the use of fluoroscopy. The class warning also includes a statement that safety and effectiveness of epidural administration of these corticosteroids have not been established. </w:t>
      </w:r>
    </w:p>
    <w:p>
      <w:pPr>
        <w:pStyle w:val="TextBody"/>
        <w:bidi w:val="0"/>
        <w:spacing w:before="240" w:after="0"/>
        <w:jc w:val="left"/>
        <w:rPr>
          <w:rFonts w:ascii="Times New Roman" w:hAnsi="Times New Roman"/>
          <w:sz w:val="20"/>
        </w:rPr>
      </w:pPr>
      <w:r>
        <w:rPr>
          <w:rFonts w:ascii="Times New Roman" w:hAnsi="Times New Roman"/>
          <w:sz w:val="20"/>
        </w:rPr>
        <w:t xml:space="preserve">Certain third-party payors have also provided limited coverage of ESIs to date. Based on coverage criteria established by different health care plans and certain Medicare Administrative Contractors, an ESI is considered medically necessary and therefore reimbursable only when certain specific criteria are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SP-102 to address problems associated with currently available corticosteroid products that are used in practice but not approved for epidural injection or the treatment of sciatica.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excipient in lieu of particulates. The product is also formulated without the use of preservatives and packaged in a pre-filled syringe, so as to confer greater physician convenience. </w:t>
      </w:r>
    </w:p>
    <w:p>
      <w:pPr>
        <w:pStyle w:val="TextBody"/>
        <w:bidi w:val="0"/>
        <w:spacing w:before="240" w:after="0"/>
        <w:jc w:val="left"/>
        <w:rPr>
          <w:rFonts w:ascii="Times New Roman" w:hAnsi="Times New Roman"/>
          <w:sz w:val="20"/>
        </w:rPr>
      </w:pPr>
      <w:r>
        <w:rPr>
          <w:rFonts w:ascii="Times New Roman" w:hAnsi="Times New Roman"/>
          <w:sz w:val="20"/>
        </w:rPr>
        <w:t xml:space="preserve">Currently-used steroids carry a class warning and are not approved to be administered epidurally for the treatment of sciatica. In fact, there are further warnings that the safety and efficacy of the use of these products following epidural administration has not been established. Their formulations include neurotoxic preservatives, surfactants, suspensions or particulates that carry risks of serious neurologic complications. Unlike currently- used steroids, SP-102 does not contain neurotoxic preservatives, surfactants, suspensions or particulates that carry risk of serious neurologic complications, which we believe may improve tolerability and the extent of pain relief. By using dexamethasone sodium phosphate, the soluble form of the potent dexamethasone, we believe SP-102 may substantially reduce the risk of embolic events in case of inadvertent intra-arterial administration and enable repeat injections. We expect the injectable viscous gel product, SP-102, which uses a biocompatible, biodegradable, novel excipient and is protected by multiple patents and patent applications and trade secrets, to prolong the residence time at the injection site and result in extended local activity. We believe SP-102, if successfully developed and approved, has the potential to reduce the disability related to LRP and help delay or avoid spine surgery. </w:t>
      </w:r>
    </w:p>
    <w:p>
      <w:pPr>
        <w:pStyle w:val="TextBody"/>
        <w:bidi w:val="0"/>
        <w:spacing w:before="240" w:after="0"/>
        <w:jc w:val="left"/>
        <w:rPr>
          <w:rFonts w:ascii="Times New Roman" w:hAnsi="Times New Roman"/>
          <w:sz w:val="20"/>
        </w:rPr>
      </w:pPr>
      <w:r>
        <w:rPr>
          <w:rFonts w:ascii="Times New Roman" w:hAnsi="Times New Roman"/>
          <w:sz w:val="20"/>
        </w:rPr>
        <w:t xml:space="preserve">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decrease the use of opioids. 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 </w:t>
      </w:r>
    </w:p>
    <w:p>
      <w:pPr>
        <w:pStyle w:val="TextBody"/>
        <w:bidi w:val="0"/>
        <w:spacing w:before="240" w:after="0"/>
        <w:jc w:val="left"/>
        <w:rPr>
          <w:rFonts w:ascii="Times New Roman" w:hAnsi="Times New Roman"/>
          <w:sz w:val="20"/>
        </w:rPr>
      </w:pPr>
      <w:r>
        <w:rPr>
          <w:rFonts w:ascii="Times New Roman" w:hAnsi="Times New Roman"/>
          <w:sz w:val="20"/>
        </w:rPr>
        <w:t xml:space="preserve">We have completed a pivotal Phase 3 CLEAR trial (NCT03372161), which was designed to evaluate the tolerability and clinical benefit of SP-102 in the proposed indication (i.e., treatment of LRP). The CLEAR clinical trial is a randomized, double-blind, placebo-controlled, multicenter Phase 3 trial that enrolled 401 subjects with LRP at over 40 clinical sites across the United States, with a primary objective to evaluate the analgesic effect on average in the affected leg pain (as measured by the NPRS in the affected leg) following a single epidural transforaminal (TF) injection of SP-102, compared to an intramuscular (i.e., the posterior multifidus muscle) injection of placebo over four weeks. After the primary Week Four analysis period, and if the subject continued to experience leg pain, a repeat injection of open-label SP-102 was made optional at the investigator’s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Clinical Development Overview </w:t>
      </w:r>
    </w:p>
    <w:p>
      <w:pPr>
        <w:pStyle w:val="TextBody"/>
        <w:bidi w:val="0"/>
        <w:spacing w:before="120" w:after="0"/>
        <w:jc w:val="left"/>
        <w:rPr>
          <w:rFonts w:ascii="Times New Roman" w:hAnsi="Times New Roman"/>
          <w:sz w:val="20"/>
        </w:rPr>
      </w:pPr>
      <w:r>
        <w:rPr>
          <w:rFonts w:ascii="Times New Roman" w:hAnsi="Times New Roman"/>
          <w:sz w:val="20"/>
        </w:rPr>
        <w:t xml:space="preserve">We have completed a Phase 3 pivotal study of SP-102. The CLEAR study is a randomized, double-blind, placebo-controlled Phase 3 trial that enrolled 401 patients with sciatica to compare the epidural administration of SP-102 to placebo. We announced final results from this study in March 2022. The Phase 3 study results have been published in PAIN® Journal in June 2024 and we also presented the pivotal Phase 3 trial results at the American Society of Interventional Pain Physicians annual meeting in Las Vegas, Nevada in May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Trial and Highlights </w:t>
      </w:r>
    </w:p>
    <w:p>
      <w:pPr>
        <w:pStyle w:val="TextBody"/>
        <w:bidi w:val="0"/>
        <w:spacing w:before="120" w:after="0"/>
        <w:jc w:val="left"/>
        <w:rPr>
          <w:rFonts w:ascii="Times New Roman" w:hAnsi="Times New Roman"/>
          <w:sz w:val="20"/>
        </w:rPr>
      </w:pPr>
      <w:r>
        <w:rPr>
          <w:rFonts w:ascii="Times New Roman" w:hAnsi="Times New Roman"/>
          <w:sz w:val="20"/>
        </w:rPr>
        <w:t xml:space="preserve">SP-102 has been evaluated in a number of preclinical studies and clinical trials as a potential treatment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sciatica. Key findings from the preclinical studies and clinical trials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SP-102 into blood vessels did not result in neurological complications in the UPD003-IS21 preclinical toxicology study;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SP-102 showed an extended residence time and tolerability in the 1014-1512 and the 1014-2847 preclinical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Repeat injections of SP-102 showed continued pain reduction with no unexpected adverse events based on preliminary results from the SP-102-03 study; and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SP-102 showed an extended local activity with epidural administration in the ES-1504 study.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Study Details </w:t>
      </w:r>
    </w:p>
    <w:p>
      <w:pPr>
        <w:pStyle w:val="TextBody"/>
        <w:bidi w:val="0"/>
        <w:spacing w:before="120" w:after="0"/>
        <w:jc w:val="left"/>
        <w:rPr>
          <w:rFonts w:ascii="Times New Roman" w:hAnsi="Times New Roman"/>
          <w:i/>
          <w:sz w:val="20"/>
        </w:rPr>
      </w:pPr>
      <w:r>
        <w:rPr>
          <w:rFonts w:ascii="Times New Roman" w:hAnsi="Times New Roman"/>
          <w:i/>
          <w:sz w:val="20"/>
        </w:rPr>
        <w:t xml:space="preserve">Phase 3 Pivotal Clinical Trial — CLEAR </w:t>
      </w:r>
    </w:p>
    <w:p>
      <w:pPr>
        <w:pStyle w:val="TextBody"/>
        <w:bidi w:val="0"/>
        <w:spacing w:before="120" w:after="0"/>
        <w:jc w:val="left"/>
        <w:rPr>
          <w:rFonts w:ascii="Times New Roman" w:hAnsi="Times New Roman"/>
          <w:sz w:val="20"/>
        </w:rPr>
      </w:pPr>
      <w:r>
        <w:rPr>
          <w:rFonts w:ascii="Times New Roman" w:hAnsi="Times New Roman"/>
          <w:sz w:val="20"/>
        </w:rPr>
        <w:t xml:space="preserve">We have completed a pivotal, randomized, double-blind, placebo-controlled Phase 3 trial, CLEAR, that enrolled 401 patients with sciatica at over 40 sites across the United States. The study included an open-label extension where subjects were followed for up to 24 weeks after treatment to evaluate the tolerability of administering SP-102 in a larger patient population. After week four, subjects who met certain pain criteria received open-label SP-102 to investigate the tolerability of repeat injections and the duration of pain relief following injection. This well-controlled, double-blind, randomized trial was designed to demonstrate evidence of the analgesic effect and tolerability of SP-102. The schematic of this Phase 3 trial is demonstrated in the flowchart below. </w:t>
      </w:r>
    </w:p>
    <w:p>
      <w:pPr>
        <w:pStyle w:val="TextBody"/>
        <w:bidi w:val="0"/>
        <w:spacing w:before="240" w:after="0"/>
        <w:jc w:val="left"/>
        <w:rPr>
          <w:rFonts w:ascii="Times New Roman" w:hAnsi="Times New Roman"/>
          <w:sz w:val="20"/>
        </w:rPr>
      </w:pPr>
      <w:r>
        <w:rPr>
          <w:rFonts w:ascii="Times New Roman" w:hAnsi="Times New Roman"/>
          <w:sz w:val="20"/>
        </w:rPr>
        <w:t xml:space="preserve">The primary objective of this study was to evaluate the analgesic effect of SP-102 on average leg pain, measured using the NPRS following a single transforaminal injection. These results were compared to an intra-muscular injection of placebo over a four-week period. The secondary objectives of this study include (i) evaluation of the degree of disability over time as measured by the ODI; (ii) characterization of the change of the subject’s radiculopathy symptoms and overall condition, using a combination of PainDETECT, modified Brief Pain Inventory, Clinical Global Impression of Change (“CGIC”), and Patient Global Impression of Change (“PGIC”) and (iii) evaluation of the tolerability of a single and repeat SP-102 injection. </w:t>
      </w:r>
    </w:p>
    <w:p>
      <w:pPr>
        <w:pStyle w:val="TextBody"/>
        <w:bidi w:val="0"/>
        <w:spacing w:before="360" w:after="0"/>
        <w:jc w:val="left"/>
        <w:rPr>
          <w:rFonts w:ascii="Times New Roman" w:hAnsi="Times New Roman"/>
          <w:i/>
          <w:sz w:val="20"/>
        </w:rPr>
      </w:pPr>
      <w:r>
        <w:rPr>
          <w:rFonts w:ascii="Times New Roman" w:hAnsi="Times New Roman"/>
          <w:i/>
          <w:sz w:val="20"/>
        </w:rPr>
        <w:t xml:space="preserve">Schematic of CLEAR - SP-102 (SEMDEXA) Phase 3 Pivotal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2770" cy="2444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2770" cy="24447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Results of CLEAR - SP-102 Phase 3 Pivotal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full six-month data analysis was completed in February 2022, and we announced final results from the study in March 2022, which results reflect achievement of primary and secondary endpoints. The Phase 3 study results have been published in PAIN® Journal (Miller et al 2024) and we also presented the pivotal Phase 3 trial results at the American Society of Interventional Pain Physicians annual meeting in Las Vegas, Nevada in May 2022. </w:t>
      </w:r>
    </w:p>
    <w:p>
      <w:pPr>
        <w:pStyle w:val="TextBody"/>
        <w:bidi w:val="0"/>
        <w:spacing w:before="240" w:after="0"/>
        <w:jc w:val="left"/>
        <w:rPr>
          <w:rFonts w:ascii="Times New Roman" w:hAnsi="Times New Roman"/>
          <w:sz w:val="20"/>
        </w:rPr>
      </w:pPr>
      <w:r>
        <w:rPr>
          <w:rFonts w:ascii="Times New Roman" w:hAnsi="Times New Roman"/>
          <w:sz w:val="20"/>
        </w:rPr>
        <w:t xml:space="preserve">The Phase 3 CLEAR trial summary results, which results reflect achievement of primary and majority of secondary endpoints,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intent-to-treat (“ITT”) population, the primary endpoint of change in average daily NPRS pain in the affected leg over four weeks following the initial injection of SP-102 demonstrated least square (“LS”) mean treatment difference (standard error (“SE”)) of -0.52 (0.163) units [95% confidence interval (“CI”): -0.84, -0.20] compared to placebo (P=0.002). The change from baseline to Week Four in the mean daily average NPRS pain score (standard deviation (“SD”)) in the affected leg was -1.81 (1.896) for SP-102 versus -1.29 (1.814) in the placebo group. The calculated standardized effect size (Cohen’s D calculated as the group mean difference divided by the pooled standard deviation) associated with the ITT population is 0.28. A statistically significant difference in the mean daily average NPRS pain change between SP-102 and placebo was observed at Week One with a mean change from baseline of -1.49 (1.519) for SP-102 and -1.02 (1.472) for placebo (P=0.002), which was maintained through Week Four. These highly significant differences between SP-102 and placebo were also observed following sensitivity analyses for fixed effects.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Likewise for the ITT population, most of the secondary endpoints at four weeks also demonstrated statistically significant results. For the key secondary endpoint of mean change in ODI from baseline, the LS mean treatment difference (SE) for SP-102 was -3.38 (1.388) units [95% CI: -6.11, -0.65] compared to placebo (P=0.015). SP-102 treatment resulted in a -8.88 point reduction from baseline, which exceeds the minimal clinically important difference of -8 established in a reported pain study.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secondary endpoints with statistically significant results for the ITT population include worst pain in affected leg at Week Four (P=0.004) and over four weeks (P=0.001), current pain in the affected leg (P=0.009), average pain in lower back (P=0.035), Brief Pain Inventory-Short Form (“BPI-SF”) for pain severity (P=0.003) and pain interference (P=0.049), PGIC (P&lt;0.001) and CGIC (P&lt;0.001), with the proportion of patients achieving a response at 30% (P=0.002).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 to repeat injection (50th quantile [95% CI]) for the ITT population was 84 (71, 100) days for SP-102 versus 58 (50, 69) days for placebo (P=0.001).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analyses were performed with the modified ITT population (“mITT”), the population with fluoroscopically confirmed needle placement. The primary endpoint group mean difference, associated standardized effect size (Cohen’s D), and statistical significance were improved for the mITT population (i.e., -1.08 (0.171), Cohen’s D = 0.68, P&lt;0.001), which were initially observed at week one and improved through Week Four. Similarly, the mITT population was observed to have improved with mostly highly statistically significant outcomes for SP-102 over placebo for the secondary endpoints. In contrast to the ITT population, the mITT population was observed to have statistically significant PainDETECT (a tool to detect neuropathic pain components) for SP-102 over placebo (P=0.037) as well as number of subjects experiencing a 50% reduction in pain in the affected leg (P&lt;0.001).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mITT population, the time to repeat injection (50th quantile [95% CI]) was 99 (78, 129) days for SP-102 versus 57 (49, 67) days for placebo.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were no SAEs related to SP-102 or its administration procedure. There were no AEs leading to death, and no AEs of special interest (“AESIs”) (i.e., paraplegia, hematoma, or infection at the injection site). There were four (1.4%) subjects experiencing SAEs and one (0.3%) subject experiencing an AE leading to early withdrawal after receiving SP-102. Two (1.0%) subjects experienced an SAE, with one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(0.5%) subject experiencing an AE leading to early withdrawal and one patient death following placebo. The fatal SAE was considered unrelated to the placebo or study procedure, as were the SAEs leading to early withdrawal. In general, a slightly higher proportion of subjects in the SP-102 group had treatment emergent AEs (“TEAEs”) than in the placebo group, (60 [29.7%] subjects vs 42 [21.1%] subjects with any TEAE). The most common TEAEs by system organ class (SOC) were nervous system disorders: 20 (9.9%) in the SP-102 group, 16 (8.0%) in the placebo group, and 20 (7.0%) in the SP-102 repeat injection group. The most common TEAEs by preferred term were headache, reported in 13 (6.4%) subjects in the SP-102 group, 11 (5.5%) subjects in the placebo group, and 10 (3.5%) subjects the SP-102 repeat injection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headaches were more commonly reported in subjects exposed to SP-102 than in subjects not exposed to SP-102 through 12 weeks (6.5% vs 2.1%). Headaches were generally mild, transient, and associated with the epidural injection. Pain at the site of injection was only reported for subjects receiving SP-102 following the initial injection (2.0%) and repeat injection (0.7%). Otherwise, TEAEs occurring ≥2% of subjects were low and balanced between SP-102 and placebo. TEAEs occurring with an incidence ≥2% remained low following the repeat injection.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were no meaningful differences observed in physical examinations, vital signs, or laboratory parameters between treatment groups.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data from the primary endpoint analyses is graphically presented below. Summary tables are also provided for primary and secondary endpoints. </w:t>
      </w:r>
    </w:p>
    <w:p>
      <w:pPr>
        <w:pStyle w:val="TextBody"/>
        <w:bidi w:val="0"/>
        <w:spacing w:before="240" w:after="0"/>
        <w:jc w:val="left"/>
        <w:rPr>
          <w:rFonts w:ascii="Times New Roman" w:hAnsi="Times New Roman"/>
          <w:sz w:val="20"/>
        </w:rPr>
      </w:pPr>
      <w:r>
        <w:rPr>
          <w:rFonts w:ascii="Times New Roman" w:hAnsi="Times New Roman"/>
          <w:sz w:val="20"/>
        </w:rPr>
        <w:t xml:space="preserve">Mean Change From Baseline in NPRS Average Pain Score (Standard Error) in the Affected Leg (ITT Population) </w:t>
      </w:r>
    </w:p>
    <w:p>
      <w:pPr>
        <w:pStyle w:val="TextBody"/>
        <w:bidi w:val="0"/>
        <w:spacing w:before="240" w:after="0"/>
        <w:jc w:val="left"/>
        <w:rPr>
          <w:rFonts w:ascii="Times New Roman" w:hAnsi="Times New Roman"/>
          <w:i/>
          <w:sz w:val="20"/>
        </w:rPr>
      </w:pPr>
      <w:r>
        <w:rPr>
          <w:rFonts w:ascii="Times New Roman" w:hAnsi="Times New Roman"/>
          <w:i/>
          <w:sz w:val="20"/>
        </w:rPr>
        <w:t xml:space="preserve">SP-102 vs Placebo Weeks 1,2,3,4: p = 0.002, 0.005, 0.003, 0.003. Overall treatment Effect (Mean SP-102 vs Placebo difference): Diff = -0.52, SE= 0.163, p =0.002. Error Bars: 95% Confidence Limits. </w:t>
      </w:r>
    </w:p>
    <w:p>
      <w:pPr>
        <w:pStyle w:val="TextBody"/>
        <w:bidi w:val="0"/>
        <w:spacing w:before="240" w:after="0"/>
        <w:jc w:val="left"/>
        <w:rPr>
          <w:rFonts w:ascii="Times New Roman" w:hAnsi="Times New Roman"/>
          <w:b/>
          <w:sz w:val="20"/>
        </w:rPr>
      </w:pPr>
      <w:r>
        <w:rPr>
          <w:rFonts w:ascii="Times New Roman" w:hAnsi="Times New Roman"/>
          <w:b/>
          <w:sz w:val="20"/>
        </w:rPr>
        <w:t xml:space="preserve">Primary and Secondary Outcomes: NPRS Average Leg Pain In Affected Leg, ODI Total Score, Mean Daily NPRS (worst, current, and lower back), PainDetect, BPI-SF (Change from Baseline to Four Weeks; ITT Population)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8"/>
        <w:gridCol w:w="120"/>
        <w:gridCol w:w="1588"/>
        <w:gridCol w:w="120"/>
        <w:gridCol w:w="1460"/>
        <w:gridCol w:w="120"/>
        <w:gridCol w:w="1227"/>
        <w:gridCol w:w="120"/>
        <w:gridCol w:w="1130"/>
        <w:gridCol w:w="120"/>
        <w:gridCol w:w="802"/>
      </w:tblGrid>
      <w:tr>
        <w:trPr/>
        <w:tc>
          <w:tcPr>
            <w:tcW w:w="3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339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8" w:type="dxa"/>
            <w:tcBorders>
              <w:bottom w:val="single" w:sz="8" w:space="0" w:color="000000"/>
            </w:tcBorders>
            <w:tcMar>
              <w:bottom w:w="28" w:type="dxa"/>
            </w:tcMar>
            <w:vAlign w:val="center"/>
          </w:tcPr>
          <w:p>
            <w:pPr>
              <w:pStyle w:val="TableContents"/>
              <w:bidi w:val="0"/>
              <w:spacing w:before="0" w:after="283"/>
              <w:jc w:val="center"/>
              <w:rPr>
                <w:b/>
              </w:rPr>
            </w:pPr>
            <w:r>
              <w:rPr>
                <w:b/>
              </w:rPr>
              <w:t>SP-102</w:t>
              <w:br/>
              <w:t>N=202</w:t>
            </w:r>
          </w:p>
        </w:tc>
        <w:tc>
          <w:tcPr>
            <w:tcW w:w="12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b/>
              </w:rPr>
            </w:pPr>
            <w:r>
              <w:rPr>
                <w:b/>
              </w:rPr>
              <w:t>Placebo</w:t>
              <w:br/>
              <w:t>N=199</w:t>
            </w:r>
          </w:p>
        </w:tc>
        <w:tc>
          <w:tcPr>
            <w:tcW w:w="120" w:type="dxa"/>
            <w:tcBorders/>
            <w:vAlign w:val="center"/>
          </w:tcPr>
          <w:p>
            <w:pPr>
              <w:pStyle w:val="TableContents"/>
              <w:bidi w:val="0"/>
              <w:spacing w:before="0" w:after="283"/>
              <w:jc w:val="left"/>
              <w:rPr/>
            </w:pPr>
            <w:r>
              <w:rPr/>
              <w:t>  </w:t>
            </w:r>
          </w:p>
        </w:tc>
        <w:tc>
          <w:tcPr>
            <w:tcW w:w="1227" w:type="dxa"/>
            <w:tcBorders>
              <w:bottom w:val="single" w:sz="8" w:space="0" w:color="000000"/>
            </w:tcBorders>
            <w:tcMar>
              <w:bottom w:w="28" w:type="dxa"/>
            </w:tcMar>
            <w:vAlign w:val="center"/>
          </w:tcPr>
          <w:p>
            <w:pPr>
              <w:pStyle w:val="TableContents"/>
              <w:bidi w:val="0"/>
              <w:spacing w:before="0" w:after="283"/>
              <w:jc w:val="center"/>
              <w:rPr>
                <w:b/>
              </w:rPr>
            </w:pPr>
            <w:r>
              <w:rPr>
                <w:b/>
              </w:rPr>
              <w:t>LSM (SE)</w:t>
            </w:r>
          </w:p>
        </w:tc>
        <w:tc>
          <w:tcPr>
            <w:tcW w:w="12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95% CI</w:t>
            </w:r>
          </w:p>
        </w:tc>
        <w:tc>
          <w:tcPr>
            <w:tcW w:w="120" w:type="dxa"/>
            <w:tcBorders/>
            <w:vAlign w:val="center"/>
          </w:tcPr>
          <w:p>
            <w:pPr>
              <w:pStyle w:val="TableContents"/>
              <w:bidi w:val="0"/>
              <w:spacing w:before="0" w:after="283"/>
              <w:jc w:val="left"/>
              <w:rPr/>
            </w:pPr>
            <w:r>
              <w:rPr/>
              <w:t>  </w:t>
            </w:r>
          </w:p>
        </w:tc>
        <w:tc>
          <w:tcPr>
            <w:tcW w:w="802" w:type="dxa"/>
            <w:tcBorders>
              <w:bottom w:val="single" w:sz="8" w:space="0" w:color="000000"/>
            </w:tcBorders>
            <w:tcMar>
              <w:bottom w:w="28" w:type="dxa"/>
            </w:tcMar>
            <w:vAlign w:val="center"/>
          </w:tcPr>
          <w:p>
            <w:pPr>
              <w:pStyle w:val="TableContents"/>
              <w:bidi w:val="0"/>
              <w:spacing w:before="0" w:after="283"/>
              <w:jc w:val="center"/>
              <w:rPr>
                <w:b/>
              </w:rPr>
            </w:pPr>
            <w:r>
              <w:rPr>
                <w:b/>
              </w:rPr>
              <w:t>P-value</w:t>
            </w:r>
          </w:p>
        </w:tc>
      </w:tr>
      <w:tr>
        <w:trPr/>
        <w:tc>
          <w:tcPr>
            <w:tcW w:w="33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Endpoint</w:t>
            </w:r>
          </w:p>
        </w:tc>
        <w:tc>
          <w:tcPr>
            <w:tcW w:w="120" w:type="dxa"/>
            <w:tcBorders/>
            <w:vAlign w:val="center"/>
          </w:tcPr>
          <w:p>
            <w:pPr>
              <w:pStyle w:val="TableContents"/>
              <w:bidi w:val="0"/>
              <w:spacing w:before="0" w:after="283"/>
              <w:jc w:val="left"/>
              <w:rPr/>
            </w:pPr>
            <w:r>
              <w:rPr/>
              <w:t>  </w:t>
            </w:r>
          </w:p>
        </w:tc>
        <w:tc>
          <w:tcPr>
            <w:tcW w:w="1588" w:type="dxa"/>
            <w:tcBorders>
              <w:bottom w:val="single" w:sz="8" w:space="0" w:color="000000"/>
            </w:tcBorders>
            <w:tcMar>
              <w:bottom w:w="28" w:type="dxa"/>
            </w:tcMar>
            <w:vAlign w:val="center"/>
          </w:tcPr>
          <w:p>
            <w:pPr>
              <w:pStyle w:val="TableContents"/>
              <w:bidi w:val="0"/>
              <w:spacing w:before="0" w:after="283"/>
              <w:jc w:val="center"/>
              <w:rPr>
                <w:b/>
              </w:rPr>
            </w:pPr>
            <w:r>
              <w:rPr>
                <w:b/>
              </w:rPr>
              <w:t>Mean Change</w:t>
              <w:br/>
              <w:t>from Baseline(1)</w:t>
            </w:r>
          </w:p>
        </w:tc>
        <w:tc>
          <w:tcPr>
            <w:tcW w:w="12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b/>
              </w:rPr>
            </w:pPr>
            <w:r>
              <w:rPr>
                <w:b/>
              </w:rPr>
              <w:t>Mean Change</w:t>
              <w:br/>
              <w:t>from Baseline</w:t>
            </w:r>
          </w:p>
        </w:tc>
        <w:tc>
          <w:tcPr>
            <w:tcW w:w="12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33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NPRS Average Pain Score in the Affected Leg (primary endpoint)(2)</w:t>
            </w:r>
          </w:p>
        </w:tc>
        <w:tc>
          <w:tcPr>
            <w:tcW w:w="120"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center"/>
              <w:rPr/>
            </w:pPr>
            <w:r>
              <w:rPr/>
              <w:t>-1.81 (1.896)</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-1.29 (1.814)</w:t>
            </w:r>
          </w:p>
        </w:tc>
        <w:tc>
          <w:tcPr>
            <w:tcW w:w="12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-0.55 (0.187)</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-0.92, -0.18</w:t>
            </w:r>
          </w:p>
        </w:tc>
        <w:tc>
          <w:tcPr>
            <w:tcW w:w="12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center"/>
              <w:rPr/>
            </w:pPr>
            <w:r>
              <w:rPr/>
              <w:t>0.003</w:t>
            </w:r>
          </w:p>
        </w:tc>
      </w:tr>
      <w:tr>
        <w:trPr/>
        <w:tc>
          <w:tcPr>
            <w:tcW w:w="33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ODI total score (key secondary endpoint)(3)</w:t>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center"/>
              <w:rPr/>
            </w:pPr>
            <w:r>
              <w:rPr/>
              <w:t>-8.88 (14.684)</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-5.48 (13.083)</w:t>
            </w:r>
          </w:p>
        </w:tc>
        <w:tc>
          <w:tcPr>
            <w:tcW w:w="12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-3.38 (1.388)</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-6.11, -0.65</w:t>
            </w:r>
          </w:p>
        </w:tc>
        <w:tc>
          <w:tcPr>
            <w:tcW w:w="12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center"/>
              <w:rPr/>
            </w:pPr>
            <w:r>
              <w:rPr/>
              <w:t>0.015</w:t>
            </w:r>
          </w:p>
        </w:tc>
      </w:tr>
      <w:tr>
        <w:trPr/>
        <w:tc>
          <w:tcPr>
            <w:tcW w:w="33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Worst pain in affected leg at Week Four(2)</w:t>
            </w:r>
          </w:p>
        </w:tc>
        <w:tc>
          <w:tcPr>
            <w:tcW w:w="120"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center"/>
              <w:rPr/>
            </w:pPr>
            <w:r>
              <w:rPr/>
              <w:t>-1.88 (2.014)</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-1.33 (1.946)</w:t>
            </w:r>
          </w:p>
        </w:tc>
        <w:tc>
          <w:tcPr>
            <w:tcW w:w="12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-0.57 (0.198)</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-0.96, -0.18</w:t>
            </w:r>
          </w:p>
        </w:tc>
        <w:tc>
          <w:tcPr>
            <w:tcW w:w="12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center"/>
              <w:rPr/>
            </w:pPr>
            <w:r>
              <w:rPr/>
              <w:t>0.004</w:t>
            </w:r>
          </w:p>
        </w:tc>
      </w:tr>
      <w:tr>
        <w:trPr/>
        <w:tc>
          <w:tcPr>
            <w:tcW w:w="33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Worst pain in affected leg over Four Weeks(2)</w:t>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-0.56 (0.173)</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-0.90, -0.22</w:t>
            </w:r>
          </w:p>
        </w:tc>
        <w:tc>
          <w:tcPr>
            <w:tcW w:w="12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center"/>
              <w:rPr/>
            </w:pPr>
            <w:r>
              <w:rPr/>
              <w:t>0.001</w:t>
            </w:r>
          </w:p>
        </w:tc>
      </w:tr>
      <w:tr>
        <w:trPr/>
        <w:tc>
          <w:tcPr>
            <w:tcW w:w="33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pain in affected leg(2)</w:t>
            </w:r>
          </w:p>
        </w:tc>
        <w:tc>
          <w:tcPr>
            <w:tcW w:w="120"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center"/>
              <w:rPr/>
            </w:pPr>
            <w:r>
              <w:rPr/>
              <w:t>-1.8 (2.28)</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-1.2 (2.41)</w:t>
            </w:r>
          </w:p>
        </w:tc>
        <w:tc>
          <w:tcPr>
            <w:tcW w:w="12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-0.6 (0.23)</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-1.1, -0.2</w:t>
            </w:r>
          </w:p>
        </w:tc>
        <w:tc>
          <w:tcPr>
            <w:tcW w:w="12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center"/>
              <w:rPr/>
            </w:pPr>
            <w:r>
              <w:rPr/>
              <w:t>0.009</w:t>
            </w:r>
          </w:p>
        </w:tc>
      </w:tr>
      <w:tr>
        <w:trPr/>
        <w:tc>
          <w:tcPr>
            <w:tcW w:w="33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Average pain in lower back(2)</w:t>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center"/>
              <w:rPr/>
            </w:pPr>
            <w:r>
              <w:rPr/>
              <w:t>-0.7 (2.54)</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-0.2 (2.48)</w:t>
            </w:r>
          </w:p>
        </w:tc>
        <w:tc>
          <w:tcPr>
            <w:tcW w:w="12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-0.5 (0.23)</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-0.9, 0.0</w:t>
            </w:r>
          </w:p>
        </w:tc>
        <w:tc>
          <w:tcPr>
            <w:tcW w:w="12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center"/>
              <w:rPr/>
            </w:pPr>
            <w:r>
              <w:rPr/>
              <w:t>0.035</w:t>
            </w:r>
          </w:p>
        </w:tc>
      </w:tr>
      <w:tr>
        <w:trPr/>
        <w:tc>
          <w:tcPr>
            <w:tcW w:w="33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PainDETECT(3)</w:t>
            </w:r>
          </w:p>
        </w:tc>
        <w:tc>
          <w:tcPr>
            <w:tcW w:w="120"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center"/>
              <w:rPr/>
            </w:pPr>
            <w:r>
              <w:rPr/>
              <w:t>-2.7 (6.47)</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-2.5 (6.07)</w:t>
            </w:r>
          </w:p>
        </w:tc>
        <w:tc>
          <w:tcPr>
            <w:tcW w:w="12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-0.3 (0.62)</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-1.5, 0.9</w:t>
            </w:r>
          </w:p>
        </w:tc>
        <w:tc>
          <w:tcPr>
            <w:tcW w:w="12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center"/>
              <w:rPr/>
            </w:pPr>
            <w:r>
              <w:rPr/>
              <w:t>0.642</w:t>
            </w:r>
          </w:p>
        </w:tc>
      </w:tr>
      <w:tr>
        <w:trPr/>
        <w:tc>
          <w:tcPr>
            <w:tcW w:w="33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Brief Pain Inventory – Short Form score (pain severity)(2)</w:t>
            </w:r>
          </w:p>
        </w:tc>
        <w:tc>
          <w:tcPr>
            <w:tcW w:w="120"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center"/>
              <w:rPr/>
            </w:pPr>
            <w:r>
              <w:rPr/>
              <w:t>-1.56 (1.952)</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-0.98 (1.928)</w:t>
            </w:r>
          </w:p>
        </w:tc>
        <w:tc>
          <w:tcPr>
            <w:tcW w:w="12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center"/>
              <w:rPr/>
            </w:pPr>
            <w:r>
              <w:rPr/>
              <w:t>-0.59 (0.200)</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-0.98, -0.20</w:t>
            </w:r>
          </w:p>
        </w:tc>
        <w:tc>
          <w:tcPr>
            <w:tcW w:w="12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center"/>
              <w:rPr/>
            </w:pPr>
            <w:r>
              <w:rPr/>
              <w:t>0.003</w:t>
            </w:r>
          </w:p>
        </w:tc>
      </w:tr>
      <w:tr>
        <w:trPr/>
        <w:tc>
          <w:tcPr>
            <w:tcW w:w="33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Brief Pain Inventory – Short Form score (pain interference)(3)</w:t>
            </w:r>
          </w:p>
        </w:tc>
        <w:tc>
          <w:tcPr>
            <w:tcW w:w="120"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center"/>
              <w:rPr/>
            </w:pPr>
            <w:r>
              <w:rPr/>
              <w:t>-1.16 (2.413)</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-0.71 (2.095)</w:t>
            </w:r>
          </w:p>
        </w:tc>
        <w:tc>
          <w:tcPr>
            <w:tcW w:w="120"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center"/>
              <w:rPr/>
            </w:pPr>
            <w:r>
              <w:rPr/>
              <w:t>-0.44 (0.221)</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-0.87, 0.00</w:t>
            </w:r>
          </w:p>
        </w:tc>
        <w:tc>
          <w:tcPr>
            <w:tcW w:w="12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center"/>
              <w:rPr/>
            </w:pPr>
            <w:r>
              <w:rPr/>
              <w:t>0.049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Baseline NPRS score is the mean of at least five days and no more than seven days of scores from the screening visit until treatment randomization. For the current pain baseline is the last score prior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575" w:type="dxa"/>
        <w:jc w:val="left"/>
        <w:tblInd w:w="0" w:type="dxa"/>
        <w:tblLayout w:type="fixed"/>
        <w:tblCellMar>
          <w:top w:w="0" w:type="dxa"/>
          <w:left w:w="0" w:type="dxa"/>
          <w:bottom w:w="0" w:type="dxa"/>
          <w:right w:w="0" w:type="dxa"/>
        </w:tblCellMar>
      </w:tblPr>
      <w:tblGrid>
        <w:gridCol w:w="75"/>
        <w:gridCol w:w="9500"/>
      </w:tblGrid>
      <w:tr>
        <w:trPr/>
        <w:tc>
          <w:tcPr>
            <w:tcW w:w="75"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left"/>
              <w:rPr/>
            </w:pPr>
            <w:r>
              <w:rPr/>
              <w:t xml:space="preserve">treatment. Baseline ODI is defined as the last ODI assessment score prior to the first dose on Day 1.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analysis uses a REML-based MMRM with fixed effects for treatment (SP-102 or placebo), week, site, Pain Catastrophizing Scale group (&lt;30 or ≥30), baseline score, and treatment-by-week interaction.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analysis uses an ANCOVA model with fixed effects for treatment (SP-102 or placebo), site, Pain Catastrophizing Scale group (&lt;30 or ≥30), and baseline score.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ANCOVA: analysis of covariance; ANOVA: analysis of variance; BPI-SF: Brief Pain Inventory – Short Form; CI: confidence interval; ITT: intent-to-treat (randomized population); LSM: least-squares mean; MMRM: mixed model for repeated measures; NPRS: numeric pain rating scale; REML: restricted maximum likelihood; SE: standard error </w:t>
      </w:r>
    </w:p>
    <w:p>
      <w:pPr>
        <w:pStyle w:val="TextBody"/>
        <w:bidi w:val="0"/>
        <w:spacing w:before="360" w:after="0"/>
        <w:jc w:val="left"/>
        <w:rPr>
          <w:rFonts w:ascii="Times New Roman" w:hAnsi="Times New Roman"/>
          <w:b/>
          <w:sz w:val="20"/>
        </w:rPr>
      </w:pPr>
      <w:r>
        <w:rPr>
          <w:rFonts w:ascii="Times New Roman" w:hAnsi="Times New Roman"/>
          <w:b/>
          <w:sz w:val="20"/>
        </w:rPr>
        <w:t xml:space="preserve">Patient Global Impression of Change (PGIC) and Clinical Global Impression of Change (CGIC) – ITT Population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34"/>
        <w:gridCol w:w="120"/>
        <w:gridCol w:w="1057"/>
        <w:gridCol w:w="120"/>
        <w:gridCol w:w="1074"/>
      </w:tblGrid>
      <w:tr>
        <w:trPr/>
        <w:tc>
          <w:tcPr>
            <w:tcW w:w="78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783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7" w:type="dxa"/>
            <w:tcBorders>
              <w:bottom w:val="single" w:sz="8" w:space="0" w:color="000000"/>
            </w:tcBorders>
            <w:tcMar>
              <w:bottom w:w="28" w:type="dxa"/>
            </w:tcMar>
            <w:vAlign w:val="center"/>
          </w:tcPr>
          <w:p>
            <w:pPr>
              <w:pStyle w:val="TableContents"/>
              <w:bidi w:val="0"/>
              <w:spacing w:before="0" w:after="283"/>
              <w:jc w:val="center"/>
              <w:rPr>
                <w:b/>
              </w:rPr>
            </w:pPr>
            <w:r>
              <w:rPr>
                <w:b/>
              </w:rPr>
              <w:t>SP-102</w:t>
              <w:br/>
              <w:t>N=202</w:t>
            </w:r>
          </w:p>
        </w:tc>
        <w:tc>
          <w:tcPr>
            <w:tcW w:w="120" w:type="dxa"/>
            <w:tcBorders/>
            <w:vAlign w:val="center"/>
          </w:tcPr>
          <w:p>
            <w:pPr>
              <w:pStyle w:val="TableContents"/>
              <w:bidi w:val="0"/>
              <w:spacing w:before="0" w:after="283"/>
              <w:jc w:val="left"/>
              <w:rPr/>
            </w:pPr>
            <w:r>
              <w:rPr/>
              <w:t>  </w:t>
            </w:r>
          </w:p>
        </w:tc>
        <w:tc>
          <w:tcPr>
            <w:tcW w:w="1074" w:type="dxa"/>
            <w:tcBorders>
              <w:bottom w:val="single" w:sz="8" w:space="0" w:color="000000"/>
            </w:tcBorders>
            <w:tcMar>
              <w:bottom w:w="28" w:type="dxa"/>
            </w:tcMar>
            <w:vAlign w:val="center"/>
          </w:tcPr>
          <w:p>
            <w:pPr>
              <w:pStyle w:val="TableContents"/>
              <w:bidi w:val="0"/>
              <w:spacing w:before="0" w:after="283"/>
              <w:jc w:val="center"/>
              <w:rPr>
                <w:b/>
              </w:rPr>
            </w:pPr>
            <w:r>
              <w:rPr>
                <w:b/>
              </w:rPr>
              <w:t>Placebo</w:t>
              <w:br/>
              <w:t>N=199</w:t>
            </w:r>
          </w:p>
        </w:tc>
      </w:tr>
      <w:tr>
        <w:trPr/>
        <w:tc>
          <w:tcPr>
            <w:tcW w:w="78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PGIC Responders (number of patients who responded with “very much improved” or “much improved”(1)</w:t>
            </w:r>
          </w:p>
        </w:tc>
        <w:tc>
          <w:tcPr>
            <w:tcW w:w="12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center"/>
              <w:rPr/>
            </w:pPr>
            <w:r>
              <w:rPr/>
              <w:t>71 (35.1%)</w:t>
            </w:r>
          </w:p>
        </w:tc>
        <w:tc>
          <w:tcPr>
            <w:tcW w:w="1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center"/>
              <w:rPr/>
            </w:pPr>
            <w:r>
              <w:rPr/>
              <w:t>39 (19.6%)</w:t>
            </w:r>
          </w:p>
        </w:tc>
      </w:tr>
      <w:tr>
        <w:trPr/>
        <w:tc>
          <w:tcPr>
            <w:tcW w:w="7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Chi-Square</w:t>
            </w:r>
          </w:p>
        </w:tc>
        <w:tc>
          <w:tcPr>
            <w:tcW w:w="120" w:type="dxa"/>
            <w:tcBorders/>
            <w:vAlign w:val="center"/>
          </w:tcPr>
          <w:p>
            <w:pPr>
              <w:pStyle w:val="TableContents"/>
              <w:bidi w:val="0"/>
              <w:spacing w:before="0" w:after="283"/>
              <w:jc w:val="left"/>
              <w:rPr/>
            </w:pPr>
            <w:r>
              <w:rPr/>
              <w:t>  </w:t>
            </w:r>
          </w:p>
        </w:tc>
        <w:tc>
          <w:tcPr>
            <w:tcW w:w="2251" w:type="dxa"/>
            <w:gridSpan w:val="3"/>
            <w:tcBorders/>
            <w:vAlign w:val="center"/>
          </w:tcPr>
          <w:p>
            <w:pPr>
              <w:pStyle w:val="TableContents"/>
              <w:bidi w:val="0"/>
              <w:spacing w:before="0" w:after="283"/>
              <w:jc w:val="center"/>
              <w:rPr/>
            </w:pPr>
            <w:r>
              <w:rPr/>
              <w:t>P&lt;0.001</w:t>
            </w:r>
          </w:p>
        </w:tc>
      </w:tr>
      <w:tr>
        <w:trPr/>
        <w:tc>
          <w:tcPr>
            <w:tcW w:w="78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Logistic regression (odds ratio [95% CI])(2)</w:t>
            </w:r>
          </w:p>
        </w:tc>
        <w:tc>
          <w:tcPr>
            <w:tcW w:w="120" w:type="dxa"/>
            <w:tcBorders/>
            <w:shd w:fill="CCEEFF" w:val="clear"/>
            <w:vAlign w:val="center"/>
          </w:tcPr>
          <w:p>
            <w:pPr>
              <w:pStyle w:val="TableContents"/>
              <w:bidi w:val="0"/>
              <w:spacing w:before="0" w:after="283"/>
              <w:jc w:val="left"/>
              <w:rPr/>
            </w:pPr>
            <w:r>
              <w:rPr/>
              <w:t>  </w:t>
            </w:r>
          </w:p>
        </w:tc>
        <w:tc>
          <w:tcPr>
            <w:tcW w:w="2251" w:type="dxa"/>
            <w:gridSpan w:val="3"/>
            <w:tcBorders/>
            <w:shd w:fill="CCEEFF" w:val="clear"/>
            <w:vAlign w:val="center"/>
          </w:tcPr>
          <w:p>
            <w:pPr>
              <w:pStyle w:val="TableContents"/>
              <w:bidi w:val="0"/>
              <w:jc w:val="center"/>
              <w:rPr/>
            </w:pPr>
            <w:r>
              <w:rPr/>
              <w:t>2.25 (1.42, 3.54)</w:t>
            </w:r>
          </w:p>
          <w:p>
            <w:pPr>
              <w:pStyle w:val="TableContents"/>
              <w:bidi w:val="0"/>
              <w:spacing w:before="0" w:after="20"/>
              <w:jc w:val="center"/>
              <w:rPr>
                <w:rFonts w:ascii="Times New Roman" w:hAnsi="Times New Roman"/>
                <w:sz w:val="20"/>
              </w:rPr>
            </w:pPr>
            <w:r>
              <w:rPr>
                <w:rFonts w:ascii="Times New Roman" w:hAnsi="Times New Roman"/>
                <w:sz w:val="20"/>
              </w:rPr>
              <w:t>P&lt;0.001</w:t>
            </w:r>
          </w:p>
        </w:tc>
      </w:tr>
      <w:tr>
        <w:trPr/>
        <w:tc>
          <w:tcPr>
            <w:tcW w:w="7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CGIC Responders (number of patients assessed as “very much improved” or “much improved”(1)</w:t>
            </w:r>
          </w:p>
        </w:tc>
        <w:tc>
          <w:tcPr>
            <w:tcW w:w="120"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center"/>
              <w:rPr/>
            </w:pPr>
            <w:r>
              <w:rPr/>
              <w:t>76 (37.6%)</w:t>
            </w:r>
          </w:p>
        </w:tc>
        <w:tc>
          <w:tcPr>
            <w:tcW w:w="120"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center"/>
              <w:rPr/>
            </w:pPr>
            <w:r>
              <w:rPr/>
              <w:t>39 (19.6%)</w:t>
            </w:r>
          </w:p>
        </w:tc>
      </w:tr>
      <w:tr>
        <w:trPr/>
        <w:tc>
          <w:tcPr>
            <w:tcW w:w="78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Chi-Square</w:t>
            </w:r>
          </w:p>
        </w:tc>
        <w:tc>
          <w:tcPr>
            <w:tcW w:w="120" w:type="dxa"/>
            <w:tcBorders/>
            <w:shd w:fill="CCEEFF" w:val="clear"/>
            <w:vAlign w:val="center"/>
          </w:tcPr>
          <w:p>
            <w:pPr>
              <w:pStyle w:val="TableContents"/>
              <w:bidi w:val="0"/>
              <w:spacing w:before="0" w:after="283"/>
              <w:jc w:val="left"/>
              <w:rPr/>
            </w:pPr>
            <w:r>
              <w:rPr/>
              <w:t>  </w:t>
            </w:r>
          </w:p>
        </w:tc>
        <w:tc>
          <w:tcPr>
            <w:tcW w:w="2251" w:type="dxa"/>
            <w:gridSpan w:val="3"/>
            <w:tcBorders/>
            <w:shd w:fill="CCEEFF" w:val="clear"/>
            <w:vAlign w:val="center"/>
          </w:tcPr>
          <w:p>
            <w:pPr>
              <w:pStyle w:val="TableContents"/>
              <w:bidi w:val="0"/>
              <w:spacing w:before="0" w:after="283"/>
              <w:jc w:val="center"/>
              <w:rPr/>
            </w:pPr>
            <w:r>
              <w:rPr/>
              <w:t>P&lt;0.001</w:t>
            </w:r>
          </w:p>
        </w:tc>
      </w:tr>
      <w:tr>
        <w:trPr/>
        <w:tc>
          <w:tcPr>
            <w:tcW w:w="7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Logistic regression (odds ratio [95% CI])(2)</w:t>
            </w:r>
          </w:p>
        </w:tc>
        <w:tc>
          <w:tcPr>
            <w:tcW w:w="120" w:type="dxa"/>
            <w:tcBorders/>
            <w:vAlign w:val="center"/>
          </w:tcPr>
          <w:p>
            <w:pPr>
              <w:pStyle w:val="TableContents"/>
              <w:bidi w:val="0"/>
              <w:spacing w:before="0" w:after="283"/>
              <w:jc w:val="left"/>
              <w:rPr/>
            </w:pPr>
            <w:r>
              <w:rPr/>
              <w:t>  </w:t>
            </w:r>
          </w:p>
        </w:tc>
        <w:tc>
          <w:tcPr>
            <w:tcW w:w="2251" w:type="dxa"/>
            <w:gridSpan w:val="3"/>
            <w:tcBorders/>
            <w:vAlign w:val="center"/>
          </w:tcPr>
          <w:p>
            <w:pPr>
              <w:pStyle w:val="TableContents"/>
              <w:bidi w:val="0"/>
              <w:jc w:val="center"/>
              <w:rPr/>
            </w:pPr>
            <w:r>
              <w:rPr/>
              <w:t>2.49 (1.58, 3.91)</w:t>
            </w:r>
          </w:p>
          <w:p>
            <w:pPr>
              <w:pStyle w:val="TableContents"/>
              <w:bidi w:val="0"/>
              <w:spacing w:before="0" w:after="20"/>
              <w:jc w:val="center"/>
              <w:rPr>
                <w:rFonts w:ascii="Times New Roman" w:hAnsi="Times New Roman"/>
                <w:sz w:val="20"/>
              </w:rPr>
            </w:pPr>
            <w:r>
              <w:rPr>
                <w:rFonts w:ascii="Times New Roman" w:hAnsi="Times New Roman"/>
                <w:sz w:val="20"/>
              </w:rPr>
              <w:t>P&lt;0.001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7-point scale rating patient’s overall improvement. Patient change is rated from “very much improved”, “much improved”, “minimally improved”, “no change”, “minimally worse”, “much worse” or “very much worse”.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Logistic regression models with treatment (SP-102 or placebo), site, and Pain Catastrophizing Scale group(&lt;30 or ≥30) as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CI: confidence interval; ITT: intent-to-treat (randomized population) </w:t>
      </w:r>
    </w:p>
    <w:p>
      <w:pPr>
        <w:pStyle w:val="TextBody"/>
        <w:bidi w:val="0"/>
        <w:spacing w:before="240" w:after="0"/>
        <w:jc w:val="left"/>
        <w:rPr>
          <w:rFonts w:ascii="Times New Roman" w:hAnsi="Times New Roman"/>
          <w:b/>
          <w:sz w:val="20"/>
        </w:rPr>
      </w:pPr>
      <w:r>
        <w:rPr>
          <w:rFonts w:ascii="Times New Roman" w:hAnsi="Times New Roman"/>
          <w:b/>
          <w:sz w:val="20"/>
        </w:rPr>
        <w:t xml:space="preserve">Time to Repeat Injection – ITT Population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10"/>
        <w:gridCol w:w="120"/>
        <w:gridCol w:w="1207"/>
        <w:gridCol w:w="120"/>
        <w:gridCol w:w="1148"/>
      </w:tblGrid>
      <w:tr>
        <w:trPr/>
        <w:tc>
          <w:tcPr>
            <w:tcW w:w="7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7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7" w:type="dxa"/>
            <w:tcBorders>
              <w:bottom w:val="single" w:sz="8" w:space="0" w:color="000000"/>
            </w:tcBorders>
            <w:tcMar>
              <w:bottom w:w="28" w:type="dxa"/>
            </w:tcMar>
            <w:vAlign w:val="center"/>
          </w:tcPr>
          <w:p>
            <w:pPr>
              <w:pStyle w:val="TableContents"/>
              <w:bidi w:val="0"/>
              <w:spacing w:before="0" w:after="283"/>
              <w:jc w:val="center"/>
              <w:rPr>
                <w:b/>
              </w:rPr>
            </w:pPr>
            <w:r>
              <w:rPr>
                <w:b/>
              </w:rPr>
              <w:t>SP-102</w:t>
              <w:br/>
              <w:t>N=202</w:t>
            </w:r>
          </w:p>
        </w:tc>
        <w:tc>
          <w:tcPr>
            <w:tcW w:w="120" w:type="dxa"/>
            <w:tcBorders/>
            <w:vAlign w:val="center"/>
          </w:tcPr>
          <w:p>
            <w:pPr>
              <w:pStyle w:val="TableContents"/>
              <w:bidi w:val="0"/>
              <w:spacing w:before="0" w:after="283"/>
              <w:jc w:val="left"/>
              <w:rPr/>
            </w:pPr>
            <w:r>
              <w:rPr/>
              <w:t>  </w:t>
            </w:r>
          </w:p>
        </w:tc>
        <w:tc>
          <w:tcPr>
            <w:tcW w:w="1148" w:type="dxa"/>
            <w:tcBorders>
              <w:bottom w:val="single" w:sz="8" w:space="0" w:color="000000"/>
            </w:tcBorders>
            <w:tcMar>
              <w:bottom w:w="28" w:type="dxa"/>
            </w:tcMar>
            <w:vAlign w:val="center"/>
          </w:tcPr>
          <w:p>
            <w:pPr>
              <w:pStyle w:val="TableContents"/>
              <w:bidi w:val="0"/>
              <w:spacing w:before="0" w:after="283"/>
              <w:jc w:val="center"/>
              <w:rPr>
                <w:b/>
              </w:rPr>
            </w:pPr>
            <w:r>
              <w:rPr>
                <w:b/>
              </w:rPr>
              <w:t>Placebo</w:t>
              <w:br/>
              <w:t>N=199</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patients with Repeat Injection of SP-102 (patients who received open-label SP-102 between 4 and 20 weeks after initial injection)</w:t>
            </w:r>
          </w:p>
        </w:tc>
        <w:tc>
          <w:tcPr>
            <w:tcW w:w="12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pPr>
            <w:r>
              <w:rPr/>
              <w:t>134 (66.3%)</w:t>
            </w:r>
          </w:p>
        </w:tc>
        <w:tc>
          <w:tcPr>
            <w:tcW w:w="12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pPr>
            <w:r>
              <w:rPr/>
              <w:t>152 (76.4%)</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Number of censored patients(1)</w:t>
            </w:r>
          </w:p>
        </w:tc>
        <w:tc>
          <w:tcPr>
            <w:tcW w:w="12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68(33.7%)</w:t>
            </w:r>
          </w:p>
        </w:tc>
        <w:tc>
          <w:tcPr>
            <w:tcW w:w="12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47(23.6%)</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Chi-Square</w:t>
            </w:r>
          </w:p>
        </w:tc>
        <w:tc>
          <w:tcPr>
            <w:tcW w:w="120" w:type="dxa"/>
            <w:tcBorders/>
            <w:shd w:fill="CCEEFF" w:val="clear"/>
            <w:vAlign w:val="center"/>
          </w:tcPr>
          <w:p>
            <w:pPr>
              <w:pStyle w:val="TableContents"/>
              <w:bidi w:val="0"/>
              <w:spacing w:before="0" w:after="283"/>
              <w:jc w:val="left"/>
              <w:rPr/>
            </w:pPr>
            <w:r>
              <w:rPr/>
              <w:t>  </w:t>
            </w:r>
          </w:p>
        </w:tc>
        <w:tc>
          <w:tcPr>
            <w:tcW w:w="2475" w:type="dxa"/>
            <w:gridSpan w:val="3"/>
            <w:tcBorders/>
            <w:shd w:fill="CCEEFF" w:val="clear"/>
            <w:vAlign w:val="center"/>
          </w:tcPr>
          <w:p>
            <w:pPr>
              <w:pStyle w:val="TableContents"/>
              <w:bidi w:val="0"/>
              <w:spacing w:before="0" w:after="283"/>
              <w:jc w:val="center"/>
              <w:rPr/>
            </w:pPr>
            <w:r>
              <w:rPr/>
              <w:t>P=0.026</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Time (days) to Repeat Injection</w:t>
            </w:r>
          </w:p>
        </w:tc>
        <w:tc>
          <w:tcPr>
            <w:tcW w:w="12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4"/>
                <w:szCs w:val="4"/>
              </w:rPr>
            </w:pPr>
            <w:r>
              <w:rPr>
                <w:sz w:val="4"/>
                <w:szCs w:val="4"/>
              </w:rPr>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w:t>
            </w:r>
          </w:p>
        </w:tc>
        <w:tc>
          <w:tcPr>
            <w:tcW w:w="12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pPr>
            <w:r>
              <w:rPr/>
              <w:t>134(66.3%)</w:t>
            </w:r>
          </w:p>
        </w:tc>
        <w:tc>
          <w:tcPr>
            <w:tcW w:w="12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pPr>
            <w:r>
              <w:rPr/>
              <w:t>152(76.4%)</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Mean (SD)</w:t>
            </w:r>
          </w:p>
        </w:tc>
        <w:tc>
          <w:tcPr>
            <w:tcW w:w="12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67.0(33.31)</w:t>
            </w:r>
          </w:p>
        </w:tc>
        <w:tc>
          <w:tcPr>
            <w:tcW w:w="12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57.8(31.69)</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Median</w:t>
            </w:r>
          </w:p>
        </w:tc>
        <w:tc>
          <w:tcPr>
            <w:tcW w:w="12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pPr>
            <w:r>
              <w:rPr/>
              <w:t>57.5</w:t>
            </w:r>
          </w:p>
        </w:tc>
        <w:tc>
          <w:tcPr>
            <w:tcW w:w="12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pPr>
            <w:r>
              <w:rPr/>
              <w:t>43.0</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Min, Max</w:t>
            </w:r>
          </w:p>
        </w:tc>
        <w:tc>
          <w:tcPr>
            <w:tcW w:w="12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27, 143</w:t>
            </w:r>
          </w:p>
        </w:tc>
        <w:tc>
          <w:tcPr>
            <w:tcW w:w="12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26, 148</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25th quantile (95% CI)(2)</w:t>
            </w:r>
          </w:p>
        </w:tc>
        <w:tc>
          <w:tcPr>
            <w:tcW w:w="12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pPr>
            <w:r>
              <w:rPr/>
              <w:t>45(43, 57)</w:t>
            </w:r>
          </w:p>
        </w:tc>
        <w:tc>
          <w:tcPr>
            <w:tcW w:w="12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pPr>
            <w:r>
              <w:rPr/>
              <w:t>36(34, 40)</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50th quantile (95% CI)(2)</w:t>
            </w:r>
          </w:p>
        </w:tc>
        <w:tc>
          <w:tcPr>
            <w:tcW w:w="12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84(71, 100)</w:t>
            </w:r>
          </w:p>
        </w:tc>
        <w:tc>
          <w:tcPr>
            <w:tcW w:w="12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center"/>
              <w:rPr/>
            </w:pPr>
            <w:r>
              <w:rPr/>
              <w:t>58(50, 69)</w:t>
            </w:r>
          </w:p>
        </w:tc>
      </w:tr>
      <w:tr>
        <w:trPr/>
        <w:tc>
          <w:tcPr>
            <w:tcW w:w="76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75th quantile (95% CI)(2)</w:t>
            </w:r>
          </w:p>
        </w:tc>
        <w:tc>
          <w:tcPr>
            <w:tcW w:w="12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center"/>
              <w:rPr/>
            </w:pPr>
            <w:r>
              <w:rPr/>
              <w:t>143(141, 143)</w:t>
            </w:r>
          </w:p>
        </w:tc>
        <w:tc>
          <w:tcPr>
            <w:tcW w:w="12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center"/>
              <w:rPr/>
            </w:pPr>
            <w:r>
              <w:rPr/>
              <w:t>126(87, 146)</w:t>
            </w:r>
          </w:p>
        </w:tc>
      </w:tr>
      <w:tr>
        <w:trPr/>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Comparison to Placebo(3) (Hazard ratio [95% CI]):</w:t>
            </w:r>
          </w:p>
        </w:tc>
        <w:tc>
          <w:tcPr>
            <w:tcW w:w="120" w:type="dxa"/>
            <w:tcBorders/>
            <w:vAlign w:val="center"/>
          </w:tcPr>
          <w:p>
            <w:pPr>
              <w:pStyle w:val="TableContents"/>
              <w:bidi w:val="0"/>
              <w:spacing w:before="0" w:after="283"/>
              <w:jc w:val="left"/>
              <w:rPr/>
            </w:pPr>
            <w:r>
              <w:rPr/>
              <w:t>  </w:t>
            </w:r>
          </w:p>
        </w:tc>
        <w:tc>
          <w:tcPr>
            <w:tcW w:w="2475" w:type="dxa"/>
            <w:gridSpan w:val="3"/>
            <w:tcBorders/>
            <w:vAlign w:val="center"/>
          </w:tcPr>
          <w:p>
            <w:pPr>
              <w:pStyle w:val="TableContents"/>
              <w:bidi w:val="0"/>
              <w:jc w:val="center"/>
              <w:rPr/>
            </w:pPr>
            <w:r>
              <w:rPr/>
              <w:t>0.68(0.54, 0.86)</w:t>
            </w:r>
          </w:p>
          <w:p>
            <w:pPr>
              <w:pStyle w:val="TableContents"/>
              <w:bidi w:val="0"/>
              <w:spacing w:before="0" w:after="20"/>
              <w:jc w:val="center"/>
              <w:rPr>
                <w:rFonts w:ascii="Times New Roman" w:hAnsi="Times New Roman"/>
                <w:sz w:val="20"/>
              </w:rPr>
            </w:pPr>
            <w:r>
              <w:rPr>
                <w:rFonts w:ascii="Times New Roman" w:hAnsi="Times New Roman"/>
                <w:sz w:val="20"/>
              </w:rPr>
              <w:t>P=0.001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Censored patients are the following: (1) patients who do not receive a repeat injection of SP-102 and (2) patients who discontinued the study prior to Week 20 without receiving a repeat injection. </w:t>
            </w:r>
          </w:p>
        </w:tc>
      </w:tr>
    </w:tbl>
    <w:tbl>
      <w:tblPr>
        <w:tblW w:w="4840" w:type="dxa"/>
        <w:jc w:val="left"/>
        <w:tblInd w:w="0" w:type="dxa"/>
        <w:tblLayout w:type="fixed"/>
        <w:tblCellMar>
          <w:top w:w="0" w:type="dxa"/>
          <w:left w:w="0" w:type="dxa"/>
          <w:bottom w:w="0" w:type="dxa"/>
          <w:right w:w="0" w:type="dxa"/>
        </w:tblCellMar>
      </w:tblPr>
      <w:tblGrid>
        <w:gridCol w:w="305"/>
        <w:gridCol w:w="4535"/>
      </w:tblGrid>
      <w:tr>
        <w:trPr/>
        <w:tc>
          <w:tcPr>
            <w:tcW w:w="305" w:type="dxa"/>
            <w:tcBorders/>
            <w:vAlign w:val="center"/>
          </w:tcPr>
          <w:p>
            <w:pPr>
              <w:pStyle w:val="TableContents"/>
              <w:bidi w:val="0"/>
              <w:spacing w:before="0" w:after="283"/>
              <w:jc w:val="left"/>
              <w:rPr/>
            </w:pPr>
            <w:r>
              <w:rPr/>
              <w:t>(2)</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Quartiles are estimated using Kaplan-Meier estimation.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Cox proportional hazards model was utilized to test the treatment difference while adjusting for site and Pain Catastrophizing Scale (&lt;30 or ≥30). </w:t>
            </w:r>
          </w:p>
        </w:tc>
      </w:tr>
    </w:tbl>
    <w:p>
      <w:pPr>
        <w:pStyle w:val="TextBody"/>
        <w:bidi w:val="0"/>
        <w:spacing w:before="240" w:after="0"/>
        <w:jc w:val="left"/>
        <w:rPr>
          <w:rFonts w:ascii="Times New Roman" w:hAnsi="Times New Roman"/>
          <w:sz w:val="20"/>
        </w:rPr>
      </w:pPr>
      <w:r>
        <w:rPr>
          <w:rFonts w:ascii="Times New Roman" w:hAnsi="Times New Roman"/>
          <w:sz w:val="20"/>
        </w:rPr>
        <w:t xml:space="preserve">CI: confidence interval; ITT: intent-to-treat (randomized population); SD: standard deviation </w:t>
      </w:r>
    </w:p>
    <w:p>
      <w:pPr>
        <w:pStyle w:val="TextBody"/>
        <w:bidi w:val="0"/>
        <w:spacing w:before="240" w:after="0"/>
        <w:jc w:val="left"/>
        <w:rPr>
          <w:rFonts w:ascii="Times New Roman" w:hAnsi="Times New Roman"/>
          <w:b/>
          <w:sz w:val="20"/>
        </w:rPr>
      </w:pPr>
      <w:r>
        <w:rPr>
          <w:rFonts w:ascii="Times New Roman" w:hAnsi="Times New Roman"/>
          <w:b/>
          <w:sz w:val="20"/>
        </w:rPr>
        <w:t xml:space="preserve">Responder Analysis (Change from Baseline in Mean NPRS, Average Daily Pain in Affected Leg)(1) – ITT Population </w:t>
      </w:r>
    </w:p>
    <w:p>
      <w:pPr>
        <w:pStyle w:val="TextBody"/>
        <w:bidi w:val="0"/>
        <w:spacing w:before="0" w:after="0"/>
        <w:jc w:val="left"/>
        <w:rPr/>
      </w:pPr>
      <w:r>
        <w:rPr/>
        <w:t> </w:t>
      </w:r>
    </w:p>
    <w:tbl>
      <w:tblPr>
        <w:tblW w:w="5985" w:type="dxa"/>
        <w:jc w:val="left"/>
        <w:tblInd w:w="0" w:type="dxa"/>
        <w:tblLayout w:type="fixed"/>
        <w:tblCellMar>
          <w:top w:w="0" w:type="dxa"/>
          <w:left w:w="0" w:type="dxa"/>
          <w:bottom w:w="0" w:type="dxa"/>
          <w:right w:w="0" w:type="dxa"/>
        </w:tblCellMar>
      </w:tblPr>
      <w:tblGrid>
        <w:gridCol w:w="3560"/>
        <w:gridCol w:w="120"/>
        <w:gridCol w:w="1085"/>
        <w:gridCol w:w="120"/>
        <w:gridCol w:w="1100"/>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b/>
              </w:rPr>
            </w:pPr>
            <w:r>
              <w:rPr>
                <w:b/>
              </w:rPr>
              <w:t>SP-102</w:t>
              <w:br/>
              <w:t>N=202</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Placebo</w:t>
              <w:br/>
              <w:t>N=199</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30% reduction</w:t>
            </w:r>
          </w:p>
        </w:tc>
        <w:tc>
          <w:tcPr>
            <w:tcW w:w="12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center"/>
              <w:rPr/>
            </w:pPr>
            <w:r>
              <w:rPr/>
              <w:t>88 (43.6%)</w:t>
            </w:r>
          </w:p>
        </w:tc>
        <w:tc>
          <w:tcPr>
            <w:tcW w:w="12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57 (28.6%)</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Chi-Square</w:t>
            </w:r>
          </w:p>
        </w:tc>
        <w:tc>
          <w:tcPr>
            <w:tcW w:w="120" w:type="dxa"/>
            <w:tcBorders/>
            <w:vAlign w:val="center"/>
          </w:tcPr>
          <w:p>
            <w:pPr>
              <w:pStyle w:val="TableContents"/>
              <w:bidi w:val="0"/>
              <w:spacing w:before="0" w:after="283"/>
              <w:jc w:val="left"/>
              <w:rPr/>
            </w:pPr>
            <w:r>
              <w:rPr/>
              <w:t>  </w:t>
            </w:r>
          </w:p>
        </w:tc>
        <w:tc>
          <w:tcPr>
            <w:tcW w:w="2305" w:type="dxa"/>
            <w:gridSpan w:val="3"/>
            <w:tcBorders/>
            <w:vAlign w:val="center"/>
          </w:tcPr>
          <w:p>
            <w:pPr>
              <w:pStyle w:val="TableContents"/>
              <w:bidi w:val="0"/>
              <w:spacing w:before="0" w:after="283"/>
              <w:jc w:val="center"/>
              <w:rPr/>
            </w:pPr>
            <w:r>
              <w:rPr/>
              <w:t>P=0.002</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Logistic regression(2) (odds ratio [95% CI])</w:t>
            </w:r>
          </w:p>
        </w:tc>
        <w:tc>
          <w:tcPr>
            <w:tcW w:w="120" w:type="dxa"/>
            <w:tcBorders/>
            <w:shd w:fill="CCEEFF" w:val="clear"/>
            <w:vAlign w:val="center"/>
          </w:tcPr>
          <w:p>
            <w:pPr>
              <w:pStyle w:val="TableContents"/>
              <w:bidi w:val="0"/>
              <w:spacing w:before="0" w:after="283"/>
              <w:jc w:val="left"/>
              <w:rPr/>
            </w:pPr>
            <w:r>
              <w:rPr/>
              <w:t>  </w:t>
            </w:r>
          </w:p>
        </w:tc>
        <w:tc>
          <w:tcPr>
            <w:tcW w:w="2305" w:type="dxa"/>
            <w:gridSpan w:val="3"/>
            <w:tcBorders/>
            <w:shd w:fill="CCEEFF" w:val="clear"/>
            <w:vAlign w:val="center"/>
          </w:tcPr>
          <w:p>
            <w:pPr>
              <w:pStyle w:val="TableContents"/>
              <w:bidi w:val="0"/>
              <w:jc w:val="center"/>
              <w:rPr/>
            </w:pPr>
            <w:r>
              <w:rPr/>
              <w:t>1.96 (1.28, 2.98)</w:t>
            </w:r>
          </w:p>
          <w:p>
            <w:pPr>
              <w:pStyle w:val="TableContents"/>
              <w:bidi w:val="0"/>
              <w:spacing w:before="0" w:after="20"/>
              <w:jc w:val="center"/>
              <w:rPr>
                <w:rFonts w:ascii="Times New Roman" w:hAnsi="Times New Roman"/>
                <w:sz w:val="20"/>
              </w:rPr>
            </w:pPr>
            <w:r>
              <w:rPr>
                <w:rFonts w:ascii="Times New Roman" w:hAnsi="Times New Roman"/>
                <w:sz w:val="20"/>
              </w:rPr>
              <w:t>P=0.002</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50% reduction</w:t>
            </w:r>
          </w:p>
        </w:tc>
        <w:tc>
          <w:tcPr>
            <w:tcW w:w="12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58 (28.7%)</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 (20.6%)</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Chi-Square</w:t>
            </w:r>
          </w:p>
        </w:tc>
        <w:tc>
          <w:tcPr>
            <w:tcW w:w="120" w:type="dxa"/>
            <w:tcBorders/>
            <w:shd w:fill="CCEEFF" w:val="clear"/>
            <w:vAlign w:val="center"/>
          </w:tcPr>
          <w:p>
            <w:pPr>
              <w:pStyle w:val="TableContents"/>
              <w:bidi w:val="0"/>
              <w:spacing w:before="0" w:after="283"/>
              <w:jc w:val="left"/>
              <w:rPr/>
            </w:pPr>
            <w:r>
              <w:rPr/>
              <w:t>  </w:t>
            </w:r>
          </w:p>
        </w:tc>
        <w:tc>
          <w:tcPr>
            <w:tcW w:w="2305" w:type="dxa"/>
            <w:gridSpan w:val="3"/>
            <w:tcBorders/>
            <w:shd w:fill="CCEEFF" w:val="clear"/>
            <w:vAlign w:val="center"/>
          </w:tcPr>
          <w:p>
            <w:pPr>
              <w:pStyle w:val="TableContents"/>
              <w:bidi w:val="0"/>
              <w:spacing w:before="0" w:after="283"/>
              <w:jc w:val="center"/>
              <w:rPr/>
            </w:pPr>
            <w:r>
              <w:rPr/>
              <w:t>P=0.060</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Logistic regression(2) (odds ratio [95% CI])</w:t>
            </w:r>
          </w:p>
        </w:tc>
        <w:tc>
          <w:tcPr>
            <w:tcW w:w="120" w:type="dxa"/>
            <w:tcBorders/>
            <w:vAlign w:val="center"/>
          </w:tcPr>
          <w:p>
            <w:pPr>
              <w:pStyle w:val="TableContents"/>
              <w:bidi w:val="0"/>
              <w:spacing w:before="0" w:after="283"/>
              <w:jc w:val="left"/>
              <w:rPr/>
            </w:pPr>
            <w:r>
              <w:rPr/>
              <w:t>  </w:t>
            </w:r>
          </w:p>
        </w:tc>
        <w:tc>
          <w:tcPr>
            <w:tcW w:w="2305" w:type="dxa"/>
            <w:gridSpan w:val="3"/>
            <w:tcBorders/>
            <w:vAlign w:val="center"/>
          </w:tcPr>
          <w:p>
            <w:pPr>
              <w:pStyle w:val="TableContents"/>
              <w:bidi w:val="0"/>
              <w:jc w:val="center"/>
              <w:rPr/>
            </w:pPr>
            <w:r>
              <w:rPr/>
              <w:t>1.58 (0.99, 2.52)</w:t>
            </w:r>
          </w:p>
          <w:p>
            <w:pPr>
              <w:pStyle w:val="TableContents"/>
              <w:bidi w:val="0"/>
              <w:spacing w:before="0" w:after="20"/>
              <w:jc w:val="center"/>
              <w:rPr>
                <w:rFonts w:ascii="Times New Roman" w:hAnsi="Times New Roman"/>
                <w:sz w:val="20"/>
              </w:rPr>
            </w:pPr>
            <w:r>
              <w:rPr>
                <w:rFonts w:ascii="Times New Roman" w:hAnsi="Times New Roman"/>
                <w:sz w:val="20"/>
              </w:rPr>
              <w:t>P=0.055</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305"/>
        <w:gridCol w:w="7865"/>
      </w:tblGrid>
      <w:tr>
        <w:trPr/>
        <w:tc>
          <w:tcPr>
            <w:tcW w:w="305" w:type="dxa"/>
            <w:tcBorders/>
            <w:vAlign w:val="center"/>
          </w:tcPr>
          <w:p>
            <w:pPr>
              <w:pStyle w:val="TableContents"/>
              <w:bidi w:val="0"/>
              <w:spacing w:before="0" w:after="283"/>
              <w:jc w:val="left"/>
              <w:rPr/>
            </w:pPr>
            <w:r>
              <w:rPr/>
              <w:t>(1)</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that discontinued or have missing scores at Week Four were considered non-responders.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Logistic regression models with treatment (SP-102 or placebo), site, and Pain Catastrophizing Scale group (&lt;30 or ≥30), and baseline averaged daily pain score as factors were used to compare the treatment groups at each week. </w:t>
            </w:r>
          </w:p>
        </w:tc>
      </w:tr>
    </w:tbl>
    <w:p>
      <w:pPr>
        <w:pStyle w:val="TextBody"/>
        <w:bidi w:val="0"/>
        <w:spacing w:before="240" w:after="0"/>
        <w:jc w:val="left"/>
        <w:rPr>
          <w:rFonts w:ascii="Times New Roman" w:hAnsi="Times New Roman"/>
          <w:sz w:val="20"/>
        </w:rPr>
      </w:pPr>
      <w:r>
        <w:rPr>
          <w:rFonts w:ascii="Times New Roman" w:hAnsi="Times New Roman"/>
          <w:sz w:val="20"/>
        </w:rPr>
        <w:t xml:space="preserve">CI: confidence interval; ITT: intent-to-treat (randomized population) </w:t>
      </w:r>
    </w:p>
    <w:p>
      <w:pPr>
        <w:pStyle w:val="TextBody"/>
        <w:bidi w:val="0"/>
        <w:spacing w:before="360" w:after="0"/>
        <w:jc w:val="left"/>
        <w:rPr>
          <w:rFonts w:ascii="Times New Roman" w:hAnsi="Times New Roman"/>
          <w:i/>
          <w:sz w:val="20"/>
        </w:rPr>
      </w:pPr>
      <w:r>
        <w:rPr>
          <w:rFonts w:ascii="Times New Roman" w:hAnsi="Times New Roman"/>
          <w:i/>
          <w:sz w:val="20"/>
        </w:rPr>
        <w:t xml:space="preserve">Interpreting Clinical Meaningfulness of SP-102 for the Treatment of LRP: a Post-Hoc Analysis of the CLEAR-1 Trial and a Systematic Review of Literature </w:t>
      </w:r>
    </w:p>
    <w:p>
      <w:pPr>
        <w:pStyle w:val="TextBody"/>
        <w:bidi w:val="0"/>
        <w:spacing w:before="120" w:after="0"/>
        <w:jc w:val="left"/>
        <w:rPr>
          <w:rFonts w:ascii="Times New Roman" w:hAnsi="Times New Roman"/>
          <w:sz w:val="20"/>
        </w:rPr>
      </w:pPr>
      <w:r>
        <w:rPr>
          <w:rFonts w:ascii="Times New Roman" w:hAnsi="Times New Roman"/>
          <w:sz w:val="20"/>
        </w:rPr>
        <w:t xml:space="preserve">Analgesic clinical trial studies performed to assess the efficacy of a pharmacological interventions produce results that require interpretation to fully understand their clinical meaningfulness. Commonly, these results are misinterpreted, with the most common source of confusion arising when the magnitude of group differences (typically between active and placebo) are conflated with the determination of the magnitude of improvement within subjects (as assessed by subjects and/or clinicians) that can be considered clinically important. Consequentially, substantial work by researchers, clinicians, and regulatory authorities has been done to establish consensus benchmarks for what constitutes clinically meaningful changes. The analgesic efficacy of SP-102 for the treatment of LRP was evaluated in the pivotal Phase 3 CLEAR-1 clinical trial. The objective of this post-hoc analysis was to interpret the clinical meaningfulness of the magnitude of group mean differences, based on consensus guidelines and benchmarks, of the CLEAR-1 trial by comparing to efficacy data observed for other analgesic products, and to evaluate these effects in the context of overall safety. </w:t>
      </w:r>
    </w:p>
    <w:p>
      <w:pPr>
        <w:pStyle w:val="TextBody"/>
        <w:bidi w:val="0"/>
        <w:spacing w:before="240" w:after="0"/>
        <w:jc w:val="left"/>
        <w:rPr>
          <w:rFonts w:ascii="Times New Roman" w:hAnsi="Times New Roman"/>
          <w:sz w:val="20"/>
        </w:rPr>
      </w:pPr>
      <w:r>
        <w:rPr>
          <w:rFonts w:ascii="Times New Roman" w:hAnsi="Times New Roman"/>
          <w:sz w:val="20"/>
        </w:rPr>
        <w:t xml:space="preserve">Statistical analyses for efficacy endpoints from the CLEAR-1 trial were performed for the ITT population, which included all randomized subjects, and the mITT population which included only subjects with fluoroscopic verification of successful injection. Group difference efficacy data are presented for the 4-week double-blind period (pre-specified and post-hoc analyses) and safety of single and repeat injections. </w:t>
      </w:r>
    </w:p>
    <w:p>
      <w:pPr>
        <w:pStyle w:val="TextBody"/>
        <w:bidi w:val="0"/>
        <w:spacing w:before="240" w:after="0"/>
        <w:jc w:val="left"/>
        <w:rPr>
          <w:rFonts w:ascii="Times New Roman" w:hAnsi="Times New Roman"/>
          <w:sz w:val="20"/>
        </w:rPr>
      </w:pPr>
      <w:r>
        <w:rPr>
          <w:rFonts w:ascii="Times New Roman" w:hAnsi="Times New Roman"/>
          <w:sz w:val="20"/>
        </w:rPr>
        <w:t xml:space="preserve">A systematic review was conducted and all available clinical trials studies for approved products for chronic low back pain (11 products) and any placebo-controlled trials studies that assessed the efficacy of off-label use of ESIs (4 studies) were collected and the GMDs and standardized effect sizes (“SES”) (Cohen’s D) were calculated for comparison with the results of the CLEAR-1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the group mean difference (mITT: 1.08-point difference; ITT: 0.52) and SES (mITT: 0.68; ITT: 0.28) for the CLEAR-1 Trial are compared with those of other products known to be clinically meaningful analgesics for chronic low back pain, results for the ITT population were similar to those of the majority of other analgesics while the mITT population produced results greater than those of most (median of other products: group mean difference: 0.7- points; SES: 0.32); results were similar when compared against off-label ESIs (median group mean difference: 0.49; SES: 0.29). Similarly, when evaluating secondary endpoints with consensus clinically meaningful cutoffs (NPRS responder analyses, ODI, and Brief Pain Inventory — Pain Interference), statistically significant separation was observed for both populations. </w:t>
      </w:r>
    </w:p>
    <w:p>
      <w:pPr>
        <w:pStyle w:val="TextBody"/>
        <w:bidi w:val="0"/>
        <w:spacing w:before="240" w:after="0"/>
        <w:jc w:val="left"/>
        <w:rPr>
          <w:rFonts w:ascii="Times New Roman" w:hAnsi="Times New Roman"/>
          <w:sz w:val="20"/>
        </w:rPr>
      </w:pPr>
      <w:r>
        <w:rPr>
          <w:rFonts w:ascii="Times New Roman" w:hAnsi="Times New Roman"/>
          <w:sz w:val="20"/>
        </w:rPr>
        <w:t xml:space="preserve">Overall, these results support that SP-102 has a clinically meaningful effect in treating LRP based on assessment of group mean differences and SESs as recommended by consensus guidelines. </w:t>
      </w:r>
    </w:p>
    <w:p>
      <w:pPr>
        <w:pStyle w:val="TextBody"/>
        <w:bidi w:val="0"/>
        <w:spacing w:before="360" w:after="0"/>
        <w:jc w:val="left"/>
        <w:rPr>
          <w:rFonts w:ascii="Times New Roman" w:hAnsi="Times New Roman"/>
          <w:i/>
          <w:sz w:val="20"/>
        </w:rPr>
      </w:pPr>
      <w:r>
        <w:rPr>
          <w:rFonts w:ascii="Times New Roman" w:hAnsi="Times New Roman"/>
          <w:i/>
          <w:sz w:val="20"/>
        </w:rPr>
        <w:t xml:space="preserve">Phase 2 Repeat Dose Study — SP-102-03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single-arm, pharmacodynamics (“PD”) and tolerability study of repeat epidural injections of SP-102 in patients with sciatica. We conducted this study to characterize repeat dose PD with respect to hypothalamic-pituitary-adrenal suppression using plasma cortisol levels, white blood cell count and blood glucose levels. </w:t>
      </w:r>
    </w:p>
    <w:p>
      <w:pPr>
        <w:pStyle w:val="TextBody"/>
        <w:bidi w:val="0"/>
        <w:spacing w:before="240" w:after="0"/>
        <w:jc w:val="left"/>
        <w:rPr>
          <w:rFonts w:ascii="Times New Roman" w:hAnsi="Times New Roman"/>
          <w:sz w:val="20"/>
        </w:rPr>
      </w:pPr>
      <w:r>
        <w:rPr>
          <w:rFonts w:ascii="Times New Roman" w:hAnsi="Times New Roman"/>
          <w:sz w:val="20"/>
        </w:rPr>
        <w:t xml:space="preserve">The study enrolled 19 subjects, of which 15 received repeat SP-102 epidural injections four to eight weeks after the initial injection. Four of the subjects did not experience recurrent pain and thus did not require a repeat injection. The daily average, current and worst pain in the affected leg and back showed continuous reduction throughout the 28-day observation period for both treatments. Based on a preliminary review of the results, SP-102 injections were generally well tolerated and there were no new unexpected adverse events observed. </w:t>
      </w:r>
    </w:p>
    <w:p>
      <w:pPr>
        <w:pStyle w:val="TextBody"/>
        <w:bidi w:val="0"/>
        <w:spacing w:before="360" w:after="0"/>
        <w:jc w:val="left"/>
        <w:rPr>
          <w:rFonts w:ascii="Times New Roman" w:hAnsi="Times New Roman"/>
          <w:b/>
          <w:sz w:val="20"/>
        </w:rPr>
      </w:pPr>
      <w:r>
        <w:rPr>
          <w:rFonts w:ascii="Times New Roman" w:hAnsi="Times New Roman"/>
          <w:b/>
          <w:sz w:val="20"/>
        </w:rPr>
        <w:t xml:space="preserve">Mean Percentage Change in Sciatica-Related Leg Pain as Measured by NPRS </w:t>
      </w:r>
    </w:p>
    <w:p>
      <w:pPr>
        <w:pStyle w:val="TextBody"/>
        <w:bidi w:val="0"/>
        <w:spacing w:before="120" w:after="0"/>
        <w:jc w:val="left"/>
        <w:rPr>
          <w:rFonts w:ascii="Times New Roman" w:hAnsi="Times New Roman"/>
          <w:i/>
          <w:sz w:val="20"/>
        </w:rPr>
      </w:pPr>
      <w:r>
        <w:rPr>
          <w:rFonts w:ascii="Times New Roman" w:hAnsi="Times New Roman"/>
          <w:i/>
          <w:sz w:val="20"/>
        </w:rPr>
        <w:t xml:space="preserve">Phase 1 Trial of SP-102 Compared to RLD—ES-1504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single-arm, two-period, fixed sequential-dose study to evaluate the PK, PD and tolerability of SP-102 when administered by epidural injection. SP-102 was compared to intravenous dexamethasone sodium phosphate injection in subjects with lumbosacral radiculopathy. There were 12 subjects enrolled in this study, all of whom received SP-102 followed by the intravenous dexamethasone sodium phosphate injection (RLD) administered one month later. A RLD is an approved drug product to which new versions are compared to show that they are bioequivalent. The purpose of this study was to establish the pharmaceutical bridge between SP-102 and the RLD. The time to maximum serum concentration (“Tmax”) observed with the administration of SP-102 was four hours, compared to 15 minutes observed with intravenous dexamethasone. The PD parameters and tolerability profiles of both products were similar, and SP-102 did not prolong cortisol suppression time. SP-102 also maintained analgesic effects throughout a one-month observation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overall systemic exposure of dexamethasone was similar, whether administered as SP-102 or injected intravenously, with a mean AUCinf of 0.916 µg*h/mL (observed with SP-102) compared to 0.943 µg*h/mL (observed with intravenously administered dexamethasone). Notably, there was a 16-fold increase in the Tmax following epidural injection of SP-102. The median Tmax was 4.00 hours for SP-102 compared to 0.25 hours for the comparison group. All 12 subjects with sciatica showed continuous reduction in back and leg pain during the one-month observation period following a single epidural injection of SP-102. </w:t>
      </w:r>
    </w:p>
    <w:p>
      <w:pPr>
        <w:pStyle w:val="TextBody"/>
        <w:bidi w:val="0"/>
        <w:spacing w:before="240" w:after="0"/>
        <w:jc w:val="left"/>
        <w:rPr>
          <w:rFonts w:ascii="Times New Roman" w:hAnsi="Times New Roman"/>
          <w:sz w:val="20"/>
        </w:rPr>
      </w:pPr>
      <w:r>
        <w:rPr>
          <w:rFonts w:ascii="Times New Roman" w:hAnsi="Times New Roman"/>
          <w:sz w:val="20"/>
        </w:rPr>
        <w:t xml:space="preserve">This study demonstrated that at an equivalent initial dose of dexamethasone, the systemic exposure to dexamethasone following epidural injection of SP-102 did not exceed the exposure following intravenous injection of the RLD. The PD effects, measured as white blood cell count, cortisol levels and glucose levels, as well as the tolerability profile, were similar between the two treatments. SP-102 injections were generally well tolerated and did not result in new unexpected side effects. We believe this trial supports a 505(b)(2) NDA, utilizing the known systemic safety of the FDA-approved RLD dose.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Toxicology Studies - Study Nos. 1014-1512 and 1014-2847 </w:t>
      </w:r>
    </w:p>
    <w:p>
      <w:pPr>
        <w:pStyle w:val="TextBody"/>
        <w:bidi w:val="0"/>
        <w:spacing w:before="120" w:after="0"/>
        <w:jc w:val="left"/>
        <w:rPr>
          <w:rFonts w:ascii="Times New Roman" w:hAnsi="Times New Roman"/>
          <w:sz w:val="20"/>
        </w:rPr>
      </w:pPr>
      <w:r>
        <w:rPr>
          <w:rFonts w:ascii="Times New Roman" w:hAnsi="Times New Roman"/>
          <w:sz w:val="20"/>
        </w:rPr>
        <w:t xml:space="preserve">We conducted PK and toxicology studies in two non-rodent animal species to assess SP-102 administered via epidural and intrathecal routes with single and multiple dose regimens. Pharmacokinetically, a prolonged increase in the active dexamethasone metabolite was consistent with the extended residence time of the viscous gel formulation of SP-102 at the site of injection. There were no new unexpected toxicology findings apart from well-characterized toxicity findings commonly observed with administration of dexamethasone sodium phosphate. Based on these studies, we selected the 10mg dexamethasone in 2mL volume dose for our further clinical studies. This selection was endorsed by the FDA during our pre-IND meeting. </w:t>
      </w:r>
    </w:p>
    <w:p>
      <w:pPr>
        <w:pStyle w:val="TextBody"/>
        <w:bidi w:val="0"/>
        <w:spacing w:before="360" w:after="0"/>
        <w:jc w:val="left"/>
        <w:rPr>
          <w:rFonts w:ascii="Times New Roman" w:hAnsi="Times New Roman"/>
          <w:i/>
          <w:sz w:val="20"/>
        </w:rPr>
      </w:pPr>
      <w:r>
        <w:rPr>
          <w:rFonts w:ascii="Times New Roman" w:hAnsi="Times New Roman"/>
          <w:i/>
          <w:sz w:val="20"/>
        </w:rPr>
        <w:t xml:space="preserve">Preclinical Toxicology Study - UPD003-IS21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preclinical toxicology study designed to simulate the accidental introduction of epidural steroids into arterial blood vessels providing blood supply to the spinal cord, which is a major cause of neurological complications associated with current administration of suspension steroids containing particulates. A 2 mL (10 mg of dexamethasone) injection of SP-102 was injected over one to two minutes into the vertebral artery of large animal species. </w:t>
      </w:r>
    </w:p>
    <w:p>
      <w:pPr>
        <w:pStyle w:val="TextBody"/>
        <w:bidi w:val="0"/>
        <w:spacing w:before="240" w:after="0"/>
        <w:jc w:val="left"/>
        <w:rPr>
          <w:rFonts w:ascii="Times New Roman" w:hAnsi="Times New Roman"/>
          <w:sz w:val="20"/>
        </w:rPr>
      </w:pPr>
      <w:r>
        <w:rPr>
          <w:rFonts w:ascii="Times New Roman" w:hAnsi="Times New Roman"/>
          <w:sz w:val="20"/>
        </w:rPr>
        <w:t xml:space="preserve">Pre- and post-dose angiography showed no remarkable changes and all animals survived for approximately 24 hours until euthanasia. The veterinary animal health report and the pathology report concluded there were no vascular, spinal cord or brain injuries associated with injection into the vertebral artery of the animals. </w:t>
      </w:r>
    </w:p>
    <w:p>
      <w:pPr>
        <w:pStyle w:val="TextBody"/>
        <w:bidi w:val="0"/>
        <w:spacing w:before="360" w:after="0"/>
        <w:jc w:val="left"/>
        <w:rPr>
          <w:rFonts w:ascii="Times New Roman" w:hAnsi="Times New Roman"/>
          <w:i/>
          <w:sz w:val="20"/>
        </w:rPr>
      </w:pPr>
      <w:r>
        <w:rPr>
          <w:rFonts w:ascii="Times New Roman" w:hAnsi="Times New Roman"/>
          <w:i/>
          <w:sz w:val="20"/>
        </w:rPr>
        <w:t xml:space="preserve">Hydrodynamic Study - SP-PC002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hydrodynamic study of SP-102 in non-rodent animal species, which showed that epidural administration of SP-102 demonstrated an increased local residence half-life and a decreased flow from the injection site. </w:t>
      </w:r>
    </w:p>
    <w:p>
      <w:pPr>
        <w:pStyle w:val="TextBody"/>
        <w:bidi w:val="0"/>
        <w:spacing w:before="240" w:after="0"/>
        <w:jc w:val="left"/>
        <w:rPr>
          <w:rFonts w:ascii="Times New Roman" w:hAnsi="Times New Roman"/>
          <w:b/>
          <w:sz w:val="20"/>
        </w:rPr>
      </w:pPr>
      <w:r>
        <w:rPr>
          <w:rFonts w:ascii="Times New Roman" w:hAnsi="Times New Roman"/>
          <w:b/>
          <w:sz w:val="20"/>
        </w:rPr>
        <w:t xml:space="preserve">Hydrodynamic Study - SP-PC002 Epidural Injection Time Course: SP-102 Post-injection in 2 mL SP-102 (DSP 5 mg/mL; 1.25% HA) + 647 mg iohexol vs. Commercial DSP: </w:t>
      </w:r>
    </w:p>
    <w:p>
      <w:pPr>
        <w:pStyle w:val="TextBody"/>
        <w:bidi w:val="0"/>
        <w:spacing w:before="360" w:after="0"/>
        <w:jc w:val="left"/>
        <w:rPr>
          <w:rFonts w:ascii="Times New Roman" w:hAnsi="Times New Roman"/>
          <w:i/>
          <w:sz w:val="20"/>
        </w:rPr>
      </w:pPr>
      <w:r>
        <w:rPr>
          <w:rFonts w:ascii="Times New Roman" w:hAnsi="Times New Roman"/>
          <w:i/>
          <w:sz w:val="20"/>
        </w:rPr>
        <w:t xml:space="preserve">Intravascular Injection Study - SEM-005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study to evaluate the accidental intravascular injection of SP-102 into the vertebral artery of non-rodent animals. There were no adverse clinical signs associated with the accidental intra-arterial injection of SP-102 following a 24-hour survival period.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leverage the robust and integrated commercial infrastructure and dedicated sales force and sales management, marketing, medical affairs and managed care capabilities, manufacturing and general administration functions of our parent company, Scilex, to commercialize our current and future product candidates, if approved. Scilex has successfully launched three commercial non-opioid pain management products in the past five years by using its in-house sales force of over 70 representatives, who typically have over 10 years of experience in promoting a broad scope of pain management products, as our current and future product candidates are commercialized. Scilex’s sales representatives leverage their established relationships with pain management HCPs to call on over 10,000 target pain specialists, neurologists, select health care providers and we believe these same call points that are providing treatment for sciatica that could benefit from SP-102, if approved. Scilex’s marketing team has expertise in pain management and has already launched three products in the pain market, and we intend to leverage Scilex’s marketing expertise to launch SP-102. In connection with the closing of the Business Combination, we will enter into the Transition Services Agreement with Scilex, pursuant to which we will be able to utilize certain employees and other service providers of Scilex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(including Scilex’s sales force) to operate our business, including with respect to the following business functions: finance, human resources, information systems, legal and administrative, R&amp;D support and commercialization support. During the transition period and leveraging Scilex’s infrastructure, we will be able to develop our own infrastructure with Scilex’s continued support and as we enter the final stages of development and pre-launch commercialization planning, we plan to increase the number of full time employees to strengthen our research and development, general administrative, manufacturing, regulatory and commercial functions. The term of the Transition Services Agreement will be three years following the closing of the Business Combination, which we believe is sufficient time for us to develop our commercial infrastructure and other business functions. See the section titled “</w:t>
      </w:r>
      <w:r>
        <w:rPr>
          <w:rFonts w:ascii="Times New Roman" w:hAnsi="Times New Roman"/>
          <w:i/>
          <w:sz w:val="20"/>
        </w:rPr>
        <w:t>Risk Factors —</w:t>
      </w:r>
      <w:r>
        <w:rPr>
          <w:rFonts w:ascii="Times New Roman" w:hAnsi="Times New Roman"/>
          <w:sz w:val="20"/>
        </w:rPr>
        <w:t xml:space="preserve"> </w:t>
      </w:r>
      <w:r>
        <w:rPr>
          <w:rFonts w:ascii="Times New Roman" w:hAnsi="Times New Roman"/>
          <w:i/>
          <w:sz w:val="20"/>
        </w:rPr>
        <w:t>Risks Related to Semnur’s Relationship with Scilex — Scilex currently performs or supports many important corporate functions for our company. Our financial statements for the fiscal years ended December 31, 2023 and 2022 reflect charges for these services on an allocation basis. As a result, our historical financial statements may not be reflective of conditions that would have existed or what our results of operations would have been had we been a stand-alone public company and no longer a majority owned subsidiary of Scilex.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created cross functional launch teams and developed a launch playbook to guide us towards a successful launch. The launch will be guided by the playbook activities and timelines briefly summarized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Patient journey</w:t>
            </w:r>
            <w:r>
              <w:rPr>
                <w:rFonts w:ascii="Times New Roman" w:hAnsi="Times New Roman"/>
                <w:sz w:val="20"/>
              </w:rPr>
              <w:t xml:space="preserve">: Learn how a patient moves through the disease state and how the patient is treated from the early to late stages of the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HCP segmentation and profiling</w:t>
            </w:r>
            <w:r>
              <w:rPr>
                <w:rFonts w:ascii="Times New Roman" w:hAnsi="Times New Roman"/>
                <w:sz w:val="20"/>
              </w:rPr>
              <w:t xml:space="preserve">: Understand how to group physicians based on their prescription practices and other behaviors and factors that will influence their prescription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Patient segmentation and profiling</w:t>
            </w:r>
            <w:r>
              <w:rPr>
                <w:rFonts w:ascii="Times New Roman" w:hAnsi="Times New Roman"/>
                <w:sz w:val="20"/>
              </w:rPr>
              <w:t xml:space="preserve">: Divide patients with sciatica into groups, according to gender, insurance type, state of disease, and any other factors that will help identify ways to increase SP-102’s utilization in each group of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HCP and patient research</w:t>
            </w:r>
            <w:r>
              <w:rPr>
                <w:rFonts w:ascii="Times New Roman" w:hAnsi="Times New Roman"/>
                <w:sz w:val="20"/>
              </w:rPr>
              <w:t xml:space="preserve">: HCP research on how physicians treat sciatica, what are the unmet needs, what type of product physicians want to use to treat sciatica, and their expectations from the new product. Patient research provides us with information regarding how satisfied patients are with the current treatments, where the current treatments fall short, and their expectations on the new treatments.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Marketing conditioning campaign development</w:t>
            </w:r>
            <w:r>
              <w:rPr>
                <w:rFonts w:ascii="Times New Roman" w:hAnsi="Times New Roman"/>
                <w:sz w:val="20"/>
              </w:rPr>
              <w:t xml:space="preserve">: Determine how to condition the market, including by identifying the current short falls and unmet needs in current treatments, ways to highlight these prior to launch, and the expectations for the new treatments.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Product positioning</w:t>
            </w:r>
            <w:r>
              <w:rPr>
                <w:rFonts w:ascii="Times New Roman" w:hAnsi="Times New Roman"/>
                <w:sz w:val="20"/>
              </w:rPr>
              <w:t xml:space="preserve">: Position the product by highlighting physician feedback on the product (e.g., safety, efficacy and length of effectiveness). </w:t>
            </w:r>
          </w:p>
        </w:tc>
      </w:tr>
    </w:tbl>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5"/>
        <w:gridCol w:w="110"/>
        <w:gridCol w:w="60"/>
        <w:gridCol w:w="8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Branded campaign development and testing</w:t>
            </w:r>
            <w:r>
              <w:rPr>
                <w:rFonts w:ascii="Times New Roman" w:hAnsi="Times New Roman"/>
                <w:sz w:val="20"/>
              </w:rPr>
              <w:t xml:space="preserve">: Develop key messages around the benefits of SP-102.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Campaign materials and temporary billing/coding reference guide</w:t>
            </w:r>
            <w:r>
              <w:rPr>
                <w:rFonts w:ascii="Times New Roman" w:hAnsi="Times New Roman"/>
                <w:sz w:val="20"/>
              </w:rPr>
              <w:t xml:space="preserve">: Develop materials for launch and promotion of SP-102 and develop billing codes guidelines for physicians to charge insurance for SP-102.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Omnichannel promotion material development</w:t>
            </w:r>
            <w:r>
              <w:rPr>
                <w:rFonts w:ascii="Times New Roman" w:hAnsi="Times New Roman"/>
                <w:sz w:val="20"/>
              </w:rPr>
              <w:t xml:space="preserve">: Develop promotion materials for various channels, ensuring a consistent message, design and tone. These materials could include materials to sales representatives, journal advertisement, direct communication to patient and congress materials. </w:t>
            </w:r>
          </w:p>
        </w:tc>
      </w:tr>
    </w:tbl>
    <w:p>
      <w:pPr>
        <w:pStyle w:val="TextBody"/>
        <w:bidi w:val="0"/>
        <w:spacing w:before="0" w:after="0"/>
        <w:jc w:val="left"/>
        <w:rPr/>
      </w:pPr>
      <w:r>
        <w:rPr/>
        <w:t> </w:t>
      </w:r>
    </w:p>
    <w:tbl>
      <w:tblPr>
        <w:tblW w:w="7165" w:type="dxa"/>
        <w:jc w:val="left"/>
        <w:tblInd w:w="0" w:type="dxa"/>
        <w:tblLayout w:type="fixed"/>
        <w:tblCellMar>
          <w:top w:w="0" w:type="dxa"/>
          <w:left w:w="0" w:type="dxa"/>
          <w:bottom w:w="0" w:type="dxa"/>
          <w:right w:w="0" w:type="dxa"/>
        </w:tblCellMar>
      </w:tblPr>
      <w:tblGrid>
        <w:gridCol w:w="75"/>
        <w:gridCol w:w="110"/>
        <w:gridCol w:w="60"/>
        <w:gridCol w:w="6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Trade name submission to FDA</w:t>
            </w:r>
            <w:r>
              <w:rPr>
                <w:rFonts w:ascii="Times New Roman" w:hAnsi="Times New Roman"/>
                <w:sz w:val="20"/>
              </w:rPr>
              <w:t xml:space="preserve">: Submit the trade name to FDA prior to filing NDA.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OPDP submission strategy</w:t>
            </w:r>
            <w:r>
              <w:rPr>
                <w:rFonts w:ascii="Times New Roman" w:hAnsi="Times New Roman"/>
                <w:sz w:val="20"/>
              </w:rPr>
              <w:t xml:space="preserve">: Submit launch materials to FDA based on the approved prescribing label.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Packaging research</w:t>
            </w:r>
            <w:r>
              <w:rPr>
                <w:rFonts w:ascii="Times New Roman" w:hAnsi="Times New Roman"/>
                <w:sz w:val="20"/>
              </w:rPr>
              <w:t xml:space="preserve">: Conduct research on packaging methods with customers, including pharmacists, physicians, nurses, and people who handle the product, to ensure the packaging is convenient for those using SP-102.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Baseline/Pre-launch HCP ATU</w:t>
            </w:r>
            <w:r>
              <w:rPr>
                <w:rFonts w:ascii="Times New Roman" w:hAnsi="Times New Roman"/>
                <w:sz w:val="20"/>
              </w:rPr>
              <w:t xml:space="preserve">: Based on product profile messaging, discuss with physicians how they intend to prescribe the product to patients, what key messages resonate with them, and their awareness of SP-102. This is to determine which patients are fit to use the product. This is usually done prior to launch and every six to nine months thereafter for the first two to three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Quant demand study</w:t>
            </w:r>
            <w:r>
              <w:rPr>
                <w:rFonts w:ascii="Times New Roman" w:hAnsi="Times New Roman"/>
                <w:sz w:val="20"/>
              </w:rPr>
              <w:t xml:space="preserve">: Discuss with physicians anticipated patient demand for, and physician prescription of, SP-102 as well as dosage requirements. This information will help us develop an accurate forecast and plan for sufficient supply of the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Forecast refresh</w:t>
            </w:r>
            <w:r>
              <w:rPr>
                <w:rFonts w:ascii="Times New Roman" w:hAnsi="Times New Roman"/>
                <w:sz w:val="20"/>
              </w:rPr>
              <w:t xml:space="preserve">: Ongoing analysis of product demand, patient usage, physician feedback, reimbursement levels and other matters that may impact the use of SP-102 and update our forecast accordingly.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Clinical Development and Regulatory </w:t>
      </w:r>
    </w:p>
    <w:p>
      <w:pPr>
        <w:pStyle w:val="TextBody"/>
        <w:bidi w:val="0"/>
        <w:spacing w:before="120" w:after="0"/>
        <w:jc w:val="left"/>
        <w:rPr>
          <w:rFonts w:ascii="Times New Roman" w:hAnsi="Times New Roman"/>
          <w:sz w:val="20"/>
        </w:rPr>
      </w:pPr>
      <w:r>
        <w:rPr>
          <w:rFonts w:ascii="Times New Roman" w:hAnsi="Times New Roman"/>
          <w:sz w:val="20"/>
        </w:rPr>
        <w:t xml:space="preserve">Our clinical development team, which, as discussed above in further detail, consists of dedicated Scilex employees and contractors, includes in-house medical expertise and clinical development experts. The clinical development team works with our CRO to identify sites for clinical trials, support the investigator teams and develop publication plans for our product candidate. Additionally, the clinical development team also works with Key Opinion Leaders, professional societies and patient advocacy groups to educate on and support the appropriate use of pain therapeutics. Our clinical development team is responsible for determining registration or supportive studies, overseeing post-approval studies and supporting investigator-sponsored trials. Our regulatory team includes in-house and consultant regulatory professionals as well as ex-FDA regulatory expert advisors. We contract external regulatory group for publishing and performing submissions to the FDA and other regulatory agencies, including Health Canada.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Supply Chain </w:t>
      </w:r>
    </w:p>
    <w:p>
      <w:pPr>
        <w:pStyle w:val="TextBody"/>
        <w:bidi w:val="0"/>
        <w:spacing w:before="120" w:after="0"/>
        <w:jc w:val="left"/>
        <w:rPr>
          <w:rFonts w:ascii="Times New Roman" w:hAnsi="Times New Roman"/>
          <w:sz w:val="20"/>
        </w:rPr>
      </w:pPr>
      <w:r>
        <w:rPr>
          <w:rFonts w:ascii="Times New Roman" w:hAnsi="Times New Roman"/>
          <w:sz w:val="20"/>
        </w:rPr>
        <w:t xml:space="preserve">We currently contract with third parties for the manufacture, assembly, testing, packaging and storage of our product candidate. Our technical team has extensive pharmaceutical development, manufacturing, analytical, quality and distribution experience and is qualified and capable of managing manufacturing and supply chain operations. Our Quality System, Standard Operating Procedures and contract manufacturing organizations (“CMOs”) comply with cGMP and regulatory requirements. We selected our CMOs for specific competencies having met our development, manufacturing, quality and the FDA regulatory requirements. These CMOs manufacture our clinical supplies and commercial batches. We currently have no plans to build our own manufacturing or distribution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As clinical trial development progresses forward, we will continue to explore both internal capabilities as well as deepening and expanding external relationships to ensure we meet our manufacturing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SP-102 is a Phase 3 sterile dexamethasone sodium phosphate injectable viscous gel drug product containing dexamethasone sodium phosphate equivalent to 10 mg dexamethasone in a pre-filled glass syringe with a 2 mL deliverable volume. SP-102 also contains sodium hyaluronate, which is a novel, biocompatible, viscosity- enhancing excipient and is listed in the European Pharmacopeia.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We are currently in discussions with Sanofi, an affiliate of Genzyme, and are in the process of identifying and certifying new suppliers, in each case to fulfill our future supply requirements for sodium hyaluronate. SP-102 is manufactured by a single-source manufacturer, which supports the clinical development, including the completed Phase 3 clinical trial of SP-102. In March 2022, we announced final results of the Phase 3 clinical trial, satisfying the primary and key secondary endpoints. The manufacturing process is proprietary and includes trade secrets.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plan to engage our existing contract manufacturer, Lifecore, for the commercial production of SP-102, if approved. See the section of this prospectus titled “</w:t>
      </w:r>
      <w:r>
        <w:rPr>
          <w:rFonts w:ascii="Times New Roman" w:hAnsi="Times New Roman"/>
          <w:i/>
          <w:sz w:val="20"/>
        </w:rPr>
        <w:t>Business — Material Agreements — Lifecore Master Services Agreement</w:t>
      </w:r>
      <w:r>
        <w:rPr>
          <w:rFonts w:ascii="Times New Roman" w:hAnsi="Times New Roman"/>
          <w:sz w:val="20"/>
        </w:rPr>
        <w:t xml:space="preserve">” for additional information regarding the manufacturing of our SP-102 product.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industry is highly competitive and subject to rapid and significant technological change. The large size and expanding scope of the pain management market makes it an attractive therapeutic area for biopharmaceutical businesses. Our potential competitors include pharmaceutical, biotechnology and specialty pharmaceutical companies. Many of these companies have drug product pipelines, readily available capital, and established research and development organizations. </w:t>
      </w:r>
    </w:p>
    <w:p>
      <w:pPr>
        <w:pStyle w:val="TextBody"/>
        <w:bidi w:val="0"/>
        <w:spacing w:before="240" w:after="0"/>
        <w:jc w:val="left"/>
        <w:rPr>
          <w:rFonts w:ascii="Times New Roman" w:hAnsi="Times New Roman"/>
          <w:sz w:val="20"/>
        </w:rPr>
      </w:pPr>
      <w:r>
        <w:rPr>
          <w:rFonts w:ascii="Times New Roman" w:hAnsi="Times New Roman"/>
          <w:sz w:val="20"/>
        </w:rPr>
        <w:t xml:space="preserve">SP-102, if approved, has the potential to become the first FDA-approved epidural steroid product for the treatment of sciatica. While there are currently no FDA-approved ESIs indicated for the treatment of sciatica, we are aware of certain non-steroid product candidates in development. SP-102, if approved,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the FDA and other regulatory approvals of product candidates, formulating and manufacturing product candidates and launching, marketing and selling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 products as well as drug products that are in the development pipelines of our competitors and later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t>
      </w:r>
    </w:p>
    <w:p>
      <w:pPr>
        <w:pStyle w:val="TextBody"/>
        <w:bidi w:val="0"/>
        <w:spacing w:before="240" w:after="0"/>
        <w:jc w:val="left"/>
        <w:rPr>
          <w:rFonts w:ascii="Times New Roman" w:hAnsi="Times New Roman"/>
          <w:sz w:val="20"/>
        </w:rPr>
      </w:pPr>
      <w:r>
        <w:rPr>
          <w:rFonts w:ascii="Times New Roman" w:hAnsi="Times New Roman"/>
          <w:sz w:val="20"/>
        </w:rPr>
        <w:t xml:space="preserve">The key competitive factors affecting the success of SP-102 are likely to be its clinical benefit, durability, tolerability, price, intellectual property protection, and the availability of reimbursement from government and other third-party payors.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Lifecore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2017, we entered into the Lifecore Master Services Agreement with Lifecore. Pursuant to the Lifecore Master Services Agreement, Lifecore is responsible for clinical trial material manufacturing and development services for SP-102 as set forth in each separate statement of work (each a “Lifecore Statement of Work”). </w:t>
      </w:r>
    </w:p>
    <w:p>
      <w:pPr>
        <w:pStyle w:val="TextBody"/>
        <w:bidi w:val="0"/>
        <w:spacing w:before="240" w:after="0"/>
        <w:jc w:val="left"/>
        <w:rPr>
          <w:rFonts w:ascii="Times New Roman" w:hAnsi="Times New Roman"/>
          <w:sz w:val="20"/>
        </w:rPr>
      </w:pPr>
      <w:r>
        <w:rPr>
          <w:rFonts w:ascii="Times New Roman" w:hAnsi="Times New Roman"/>
          <w:sz w:val="20"/>
        </w:rPr>
        <w:t xml:space="preserve">The parties entered into a Lifecore Statement of Work on January 27, 2017, pursuant to which Lifecore agreed to provide, among other things, (1) project management support, (2) development services, (3) clinical trial materials, and (4) stability studies. We paid Lifecore for the development and clinical trial material manufacturing services, which was invoiced at the completion of each service.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Lifecore’s development and clinical trial material manufacturing obligations, we granted Lifecore a nonexclusive, worldwide and royalty-free license under our owned or controlled intellectual property rights necessary to manufacture SP-102, without additional right, title or interest in our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(d) engages in any act which materially impairs goodwill associated with SEMDEXA or materially impairs the terminating party’s trademark or trade name. In addition, Lifecore may terminate the agreement if (i) we fail to pay past due invoices upon 30 days’ written notice, or (ii) we reject or fail to respond to a major change or minor change proposed by Lifecore that does not change SEMDEXA’s written and approved acceptance criteria. </w:t>
      </w:r>
    </w:p>
    <w:p>
      <w:pPr>
        <w:pStyle w:val="TextBody"/>
        <w:bidi w:val="0"/>
        <w:spacing w:before="240" w:after="0"/>
        <w:jc w:val="left"/>
        <w:rPr>
          <w:rFonts w:ascii="Times New Roman" w:hAnsi="Times New Roman"/>
          <w:sz w:val="20"/>
        </w:rPr>
      </w:pPr>
      <w:r>
        <w:rPr>
          <w:rFonts w:ascii="Times New Roman" w:hAnsi="Times New Roman"/>
          <w:sz w:val="20"/>
        </w:rPr>
        <w:t xml:space="preserve">The Lifecore Master Services Agreement contains customary reciprocal indemnification obligations for Lifecore and Semnur.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Lifecore Master Services Agreement and the amendments thereto in the forms filed as exhibits to the registration statement of which this prospectus forms a part. You should read the form of the agreement and its amendments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Semnur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18, 2019, Semnur was acquired by Scilex pursuant to the Semnur Merger Agreement with Semnur, Sigma Merger Sub, Semnur Equityholders’ Representative, and for limited purposes, Sorrento. Pursuant to the Semnur Merger Agreement, Sigma Merger Sub merged with and into us (the “Semnur Merger”), and we survived as Scilex’s wholly 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Semnur Merger Agreement, and upon the terms and subject to the conditions contained therein, Scilex agreed to pay the former holders of Semnur’s capital stock (the “Semnur Equityholders”) up to $280.0 million in aggregate contingent cash consideration based on the achievement of certain milestones, comprised of a $40.0 million payment that will be due upon obtaining the first approval of a NDA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$750.0 million in cumulative net sales of a Semnur product. The obligation to make the foregoing payments is an obligation of Scilex and Scilex will pay such amounts, if triggered. However, in the event Scilex makes any of these payments, Scilex expects to seek reimbursement of these amounts from Semnur through an intercompany arrangement between Scilex and Semnur. At this time, no such intercompany agreement is in place. See the section titled “</w:t>
      </w:r>
      <w:r>
        <w:rPr>
          <w:rFonts w:ascii="Times New Roman" w:hAnsi="Times New Roman"/>
          <w:i/>
          <w:sz w:val="20"/>
        </w:rPr>
        <w:t>Business — Material Agreements — Semnur Merger Agreement</w:t>
      </w:r>
      <w:r>
        <w:rPr>
          <w:rFonts w:ascii="Times New Roman" w:hAnsi="Times New Roman"/>
          <w:sz w:val="20"/>
        </w:rPr>
        <w:t xml:space="preserve">” for additional information regarding Scilex’s obligations under the Semnur Merger Agreement. As of the date of this prospectus, none of the foregoing payments have been triggered. </w:t>
      </w:r>
    </w:p>
    <w:p>
      <w:pPr>
        <w:pStyle w:val="TextBody"/>
        <w:bidi w:val="0"/>
        <w:spacing w:before="240" w:after="0"/>
        <w:jc w:val="left"/>
        <w:rPr>
          <w:rFonts w:ascii="Times New Roman" w:hAnsi="Times New Roman"/>
          <w:sz w:val="20"/>
        </w:rPr>
      </w:pPr>
      <w:r>
        <w:rPr>
          <w:rFonts w:ascii="Times New Roman" w:hAnsi="Times New Roman"/>
          <w:sz w:val="20"/>
        </w:rPr>
        <w:t xml:space="preserve">The Semnur Merger Agreement also provided that following the consummation of Scilex’s first bona fide equity financing with one or more third-party financing sources on an arm’s length basis with gross proceeds to Scilex of at least $40.0 million, certain of the former Semnur optionholders will be paid cash in lieu of: (i) the 352,972 shares of Scilex Common Stock otherwise issuable to such former Semnur optionholders pursuant to the Semnur Merger Agreement, and (ii) any shares that would otherwise be issued to such former Semnur optionholders upon release of shares held in escrow pursuant to the Semnur Merger Agreement, with such shares in each case valued at $1.16 per share. The Semnur optionholders subsequently agreed, under the terms of the Exchange Agreement (as defined and described below) to forego the foregoing right to any such payment in exchange for the right to participate in the Share Exchange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March 2019, the Semnur Equityholders that received the $55.0 million of shares of Scilex Common Stock (47,039,315 shares issued and 352,972 shares issuable, valued at $1.16 per share) (the “Stock Consideration”) were required to sign an Exchange and Registration Rights Agreement with Scilex (as amended, the “Exchange Agreement”). Pursuant to the Exchange Agreement, and upon the terms and subject to the conditions contained therein, if within 18 months following the closing of the Semnur Merger, 100% of the outstanding equity of Scilex had not been acquired by a third party or Scilex had not entered into a definitive agreement with respect to, or otherwise consummated, a firmly underwritten offering of Scilex capital stock on a major stock exchange that met certain requirements, then holders of the Stock Consideration could collectively elect to exchange, during the 60-day period commencing the date that was the 18 month anniversary of the closing of the Semnur Merger (the “Share Exchange”), the Stock Consideration for shares of Sorrento’s common stock with a value of $55.0 million based on a price per share of Sorrento’s common stock equal to the greater of (a) the 30-day trailing volume weighted average price of one share of Sorrento’s common stock as reported on Nasdaq as of the consummation of the Share Exchange and (b) $5.55 (subject to adjustment for any stock dividend, stock split, stock combination, reclassification or similar transaction) (the “Exchange Price”). Pursuant to an amendment to the Exchange Agreement entered into by Sorrento and the Semnur Equityholders’ Representative on September 28, 2020, on October 9, 2020, Sorrento paid $55.0 million in cash to the Semnur Equityholders in lieu of issuing $55.0 million of shares of Sorrento’s common stock at the Exchange Price.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Semnur Merger Agreement (including the amendment thereto) in the forms filed as exhibits to the registration statement of which this prospectus forms a part. You should read the Semnur Merger Agreement (including the amendment thereto)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Shah Assignment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6, 2013, we entered into that certain Assignment Agreement (the “Shah Assignment Agreement”) with Shah Investor LP (“Shah Investor”). Pursuant to the Shah Assignment Agreement, Shah Investor assigned to us the patents, know-how and other intellectual property related to pharmaceutical compositions of corticosteroids.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license and rights granted by Shah Investor, we agreed to pay royalties (i) at the rate of 1.5% of the Net Sales for Annual Net Sales (each as defined therein) up to $250,000,000 and (ii) at the rate of 2.5% of the Net Sales for Annual Net Sales of $250,000,000 and above, subject to certain adjustments as set out in the Shah Assignment Agreement. Such royalties payment for a given calendar quarter shall be due and payable on the date the royalty report for such quarter is due under the Shah Assignment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Shah Assignment Agreement continues in full force and effect on a country-by-country and product-by-product basis until royalties are no longer due on such product under the agreement. The Shah Assignment Agreement contains customary reciprocal indemnification obligations for Shah Investor and Semnur. </w:t>
      </w:r>
    </w:p>
    <w:p>
      <w:pPr>
        <w:pStyle w:val="TextBody"/>
        <w:bidi w:val="0"/>
        <w:spacing w:before="240" w:after="0"/>
        <w:jc w:val="left"/>
        <w:rPr>
          <w:rFonts w:ascii="Times New Roman" w:hAnsi="Times New Roman"/>
          <w:sz w:val="20"/>
        </w:rPr>
      </w:pPr>
      <w:r>
        <w:rPr>
          <w:rFonts w:ascii="Times New Roman" w:hAnsi="Times New Roman"/>
          <w:sz w:val="20"/>
        </w:rPr>
        <w:t xml:space="preserve">The Shah Investor is not related to Jaisim Shah, our Chief Executive Officer, and Jaisim Shah has no direct or indirect material interest in the Shah Assignment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Shah Assignment Agreement in the form filed as an exhibit to the registration statement of which this prospectus forms a part. You should read the Shah Assignment Agreement for a complete understanding of all of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novel adhesion and delivery technology, inventions, improvements and product candidates that are important to the development and implementation of our business. Our patent portfolio is intended to cover our product candidates, their methods of use and processes for their manufacture, and any other inventions that are commercially important to our business. We also rely on trade secret protection of our confidential information and know-how relating to our novel adhesion and delivery technology, platforms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Generally, patents are granted a term of 20 years from the earliest claimed non-provisional filing date. In certain instances, the patent term can be adjusted to recapture a portion of delay by the U.S. PTO in examining the patent application or extended to account for term effectively lost as a result of the FDA regulatory review period, or both. We cannot provide any assurance that any patents will be issued from our pending or future applications or that any patents will adequately protect our product 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patent portfolio, consisting of owned and/or licensed IP as of August 31, 2024 contains approximately six issued and unexpired U.S. patents and four pending U.S. patent applications. Our portfolio also includes certain foreign counterparts of these patents and patent applications including in most major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product candidate SP-102, the patents and patent applications that we own include formulations and methods of treatment. The patents are U.S. Pat. Nos. 10,500,284, 10,117,938, and 11,020,485, all of which expire in 2036. We continue to seek to maximize the scope of our patent protection for all our programs.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have certain know-how and trade secrets relating to our technology and product candidate. We rely on trade secrets to protect certain aspects of our technology related to our current and future product candidate. However, trade secrets can be difficult to protect. We seek to protect our trade secrets, in part, by entering into confidentiality agreements with our employees, consultants, scientific advisors, service providers, and contractors. We also seek to preserve the integrity and confidentiality of our data and trade secrets by maintaining physical security of our premises and physical and electronic security of our information technology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Trademarks, Trade Secrets and Other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trademark applications and pursue registrations in the United States and abroad when appropriate. We own pending trademark applications for “SEMNUR PHARMACEUTICALS” and “SEMDEXA”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also depend upon the skills, knowledge and experience of our scientific and technical personnel, as well as that of our advisors, consultants and other contractors. To help protect our proprietary know-how, we rely on trade secret protection and confidentiality agreements to protect our interests.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will own all inventions conceived by the individual in the course of rendering services to us. </w:t>
      </w:r>
    </w:p>
    <w:p>
      <w:pPr>
        <w:pStyle w:val="TextBody"/>
        <w:bidi w:val="0"/>
        <w:spacing w:before="240" w:after="0"/>
        <w:jc w:val="left"/>
        <w:rPr>
          <w:rFonts w:ascii="Times New Roman" w:hAnsi="Times New Roman"/>
          <w:sz w:val="20"/>
        </w:rPr>
      </w:pPr>
      <w:r>
        <w:rPr>
          <w:rFonts w:ascii="Times New Roman" w:hAnsi="Times New Roman"/>
          <w:sz w:val="20"/>
        </w:rPr>
        <w:t xml:space="preserve">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 We believe that our competitors will be required to conduct lengthy and costly preclinical and clinical trials to establish products with comparable tolerability profiles and clinical benefit to SP-102.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levels, and in other countries and jurisdictions, extensively regulate, among other things, the research, development, testing, manufacture, pricing, reimbursement, sales, quality control, approval, labeling, packaging, storage, record-keeping, promotion, advertising, distribution, post-approval monitoring and reporting, marketing and export and import of products such as those we are marketing and developing. SP-102 and any other product candidate that we develop must be approved by the FDA or otherwise authorized for marketing before they may be legally marketed in the United States and by the corresponding foreign regulatory agencies before they may be legally marketed in foreign countries. The processes for obtaining marketing approvals,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Drug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FDA regulates drugs under the FDCA and implementing regulations. Drugs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or its products to a variety of administrative or judicial sanctions, such as imposition of a clinical hold, the FDA’s refusal to approve pending applications, withdrawal of an approval, inspection scrutiny, issuance of warning letters, product recalls, product seizures, total or partial suspension of production or distribution, injunctions, fines, refusals of government contracts, or reimbursements, restitution, disgorgement of profits or other civil or criminal penalties. The process required by the FDA before a drug product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animal studies and formulation studies according to GLPs or other applicable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FDA’s drug substance (Part 210), drug product (Part 211), combination of product and device (Part 820) and all Module 3, CMC, and cGMP requirements for NDA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IRB covering each clinical site before each trial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according to the laws and regulations pertaining to the conduct of human clinical trials, collectively referred to as GCP requirements to establish the safety and efficacy of the proposed drug product for its intended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NDA or other marketing application, for a proposed new drug product, including its specific formulation and labeling;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pre-approval inspection (PAI) of the manufacturing facility or facilities where the drug substance, drug product, packaging components and device are produced to assess compliance with the FDA’s cGMP requirements to assure that the facilities, manufacturing, methods and controls are adequate to preserve the drug product’s identity, strength, quality and purity;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75"/>
        <w:gridCol w:w="110"/>
        <w:gridCol w:w="6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preclinical study and clinical trial sites that generated the data in support of the NDA;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prior to any commercial marketing, sale, distribution or shipment of the drug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novel compounds with potential therapeutic value in humans, the drug candidate enters the preclinical testing stage, also referred to as preclinical studies. Preclinical studies include laboratory evaluations of product chemistry, toxicity and formulation, as well as animal studies to assess the potential safety and activity of the drug product candidate. The conduct of the preclinical studies must comply with federal laws and requirements including GLPs. The IND sponsor must submit the results of the preclinical studies, together with manufacturing information, analytical data, and any available clinical data or literature,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studies may continue even after the IND is submitted. The IND 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for additional reasons. Accordingly, we cannot be sure that submission of an IND will result in the FDA allowing clinical trials to begin, or that, once begun, issues will not arise that suspend or terminate such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drug candidate to healthy subjects or patients with the target disease under the supervision of qualified investigators, generally physicians not employed by the trial sponsor. Clinical trials are conducted under written study protocols detailing, among other things, the objectives of the clinical trial, subject selection and exclusion criteria, dosing procedures, and the parameters to be used to collect data and to monitor subject safety. Each protocol must be submitted to the FDA as part of the IND, and timely safety reports must be submitted to the FDA and investigators for suspected adverse reactions that are serious and unexpected and other safety-related findings. Clinical trials must be conducted in accordance with applicable statutes, the FDA’s regulations and GCP requirements.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and signed by each clinical trial subject or his or her legal representative and must monitor the clinical trial until it is completed. In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instances, additional oversight boards, such as a data safety monitoring board, are required to evaluate interim data and determine whether a study should continue or be modified or terminated. Information about many clinical trials is required to be publicly reported on www.ClinicalTrials.gov or similar databases.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Phase 1</w:t>
            </w:r>
            <w:r>
              <w:rPr>
                <w:rFonts w:ascii="Times New Roman" w:hAnsi="Times New Roman"/>
                <w:sz w:val="20"/>
              </w:rPr>
              <w:t xml:space="preserve">. The drug product is initially introduced into healthy human subjects and tested for safety, dosage tolerance, absorption, metabolism, distribution and excretion and, if possible, to gain an early indication of its effectiveness. In the case of some products for severe or life-threatening diseases, especially when the product may be too inherently toxic to ethically administer to healthy volunteers, the initial human testing may be conducted only in patients having the specific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Phase 2</w:t>
            </w:r>
            <w:r>
              <w:rPr>
                <w:rFonts w:ascii="Times New Roman" w:hAnsi="Times New Roman"/>
                <w:sz w:val="20"/>
              </w:rPr>
              <w:t xml:space="preserve">. The drug product is evaluated in a limited patient population to identify possible adverse effects and safety risks, to preliminarily evaluate the efficacy of the product for specific targeted diseases and to determine dosage tolerance, optimal dosage and dosing schedule for patients having the specific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Phase 3</w:t>
            </w:r>
            <w:r>
              <w:rPr>
                <w:rFonts w:ascii="Times New Roman" w:hAnsi="Times New Roman"/>
                <w:sz w:val="20"/>
              </w:rPr>
              <w:t xml:space="preserve">. The drug product is administered to an expanded patient population in adequate and well-controlled clinical trials to generate sufficient data to statistically confirm the safety and efficacy of the product for potential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may approve a drug product based on the results of a single adequate and well-controlled Phase 3 trial for excellent design and which provided highly reliable and statistically strong evidence of important clinical benefit. The FDA’s decision to approve a drug product using the results of a single adequate and well-controlled Phase 3 trial depends both on the quality and quantity of the evidence and considers trial design, trial endpoints, and statistical methodologies, as well as the availability of other confirmatory evidence or reliance on a previous finding of effectiveness of an approved drug when scientifically and legally permissible. </w:t>
            </w:r>
          </w:p>
        </w:tc>
      </w:tr>
    </w:tbl>
    <w:p>
      <w:pPr>
        <w:pStyle w:val="TextBody"/>
        <w:bidi w:val="0"/>
        <w:spacing w:before="240" w:after="0"/>
        <w:jc w:val="left"/>
        <w:rPr>
          <w:rFonts w:ascii="Times New Roman" w:hAnsi="Times New Roman"/>
          <w:sz w:val="20"/>
        </w:rPr>
      </w:pPr>
      <w:r>
        <w:rPr>
          <w:rFonts w:ascii="Times New Roman" w:hAnsi="Times New Roman"/>
          <w:sz w:val="20"/>
        </w:rPr>
        <w:t>The Company’s planned NDA application for SP-102 will not seek approval based on the results of a single adequate and well-controlled Phase 3 trial for excellent design and which provided highly reliable and statistically strong evidence of important clinical benefit. The Company plans to commence its Phase 3 CLEAR-2 trial in the second half of 2025 (as described in more details elsewhere in this prospectus under the section titled “</w:t>
      </w:r>
      <w:r>
        <w:rPr>
          <w:rFonts w:ascii="Times New Roman" w:hAnsi="Times New Roman"/>
          <w:i/>
          <w:sz w:val="20"/>
        </w:rPr>
        <w:t>Business of Semnur — Our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the status of drug product development and results of the clinical trials must be submitted at least annually to the FDA, and written IND safety reports must be submitted to the FDA and the investigators for suspected adverse reactions that are serious and unexpected (including increased rate of occurrence of such adverse reactions), findings from other studies that suggest a significant risk in humans exposed to the drug product, or any findings from tests in laboratory animals that suggests a significant risk for human subjects or patients. Phase 1, Phase 2 and Phase 3 clinical trials may not yield positive results, or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product has been associated with unexpected serious harm to study subjects. </w:t>
      </w:r>
    </w:p>
    <w:p>
      <w:pPr>
        <w:pStyle w:val="TextBody"/>
        <w:bidi w:val="0"/>
        <w:spacing w:before="240" w:after="0"/>
        <w:jc w:val="left"/>
        <w:rPr>
          <w:rFonts w:ascii="Times New Roman" w:hAnsi="Times New Roman"/>
          <w:sz w:val="20"/>
        </w:rPr>
      </w:pPr>
      <w:r>
        <w:rPr>
          <w:rFonts w:ascii="Times New Roman" w:hAnsi="Times New Roman"/>
          <w:sz w:val="20"/>
        </w:rPr>
        <w:t xml:space="preserve">During the development of a new drug product, sponsors are given opportunities to meet with the FDA at certain points. These points may be prior to submission of an IND, at the end of Phase 2, the end of Phase 3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and present their plans for the Phase 3 clinical trials or manufacturing process validation and testing and their pre-NDA meeting that they believe will support approval of the new drug product.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drug product as well as validate a process for commercial manufacturing the drug product in accordance with cGMP requirements. The commercial manufacturing process must be capable of consistently and continuously producing quality batches of the drug product candidate and, among other things, the manufacturer must develop appropriate methods for testing the identity, strength, quality and purity of the final drug product. Additionally, appropriate packaging must be selected and tested and stability studies must be conducted to demonstrate that the drug product candidate does not undergo unacceptable deterioration over its shelf life.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product development, preclinical studies and clinical trials for the claimed indications are incorporated into an NDA. The FDA may grant deferrals for the development and submission of pediatric data or full or partial waivers after the initial submission of a pediatric study plan following an end of Phase 2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descriptions of the manufacturing process and controls, analytical tests conducted on the chemistry of the drug product, proposed labeling and other relevant information are required to be submitted to the FDA as part of an NDA requesting approval to market the product. The submission of an NDA is subject to the payment of substantial user fees and a waiver of such fees may be obtained under certain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the NDA to determine, among other things, whether the proposed product is safe and effective for its intended use, and whether the product is being manufactured in accordance with cGMP to assure and preserve the product’s identity, strength, quality and purity. Under the Prescription Drug User Fee Act (“PDUFA”) guidelines that are currently in effect, the FDA has a goal of 10 months from the date of “filing” of a standard, original NDA for a new molecular entity to review and act on the submission. This review typically takes 12 months from the date the NDA is submitted to the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accepting an NDA for filing. In this event, the NDA must be resubmitted with the additional information. The resubmitted application also is subject to review before the FDA accepts it for filing.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product approval process, the FDA also will determine whether REMS is necessary to assure the safe use of the drug product. If the FDA concludes a REMS is needed, the sponsor of the NDA must submit a proposed REMS. The FDA will not approve the NDA without a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approving an NDA, the FDA will generally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If the FDA determines that the application, manufacturing process or manufacturing facilities are not acceptable, it will outline the deficiencies in the submission and often will request additional testing or information. Additionally, before approving an NDA, the FDA will typically inspect one or more clinical sites to assure compliance with GCP requirements.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an NDA, it will issue an approval letter or a Complete Response Letter. An approval letter authorizes commercial marketing of the drug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preclinical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post-approval studies, referred to as Phase 4 testing, which involves clinical trials designed to further assess a product’s safety and effectiveness and may require testing and surveillance programs to monitor the safety of approved products that have been commercialized.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administers a number of different programs that enable the agency and sponsors in various ways to expedite the development or agency review of a new drug product. Among these, the FDA has a fast track designation that is intended to expedite or facilitate the process for reviewing new drug products that meet certain criteria. New drug products are eligible for fast track designation if they are intended to treat a serious or life-threatening disease or condition and demonstrate the potential to address unmet medical needs for the disease or condition. As an example of the modified processes available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0"/>
        <w:jc w:val="left"/>
        <w:rPr>
          <w:rFonts w:ascii="Times New Roman" w:hAnsi="Times New Roman"/>
          <w:sz w:val="20"/>
        </w:rPr>
      </w:pPr>
      <w:r>
        <w:rPr>
          <w:rFonts w:ascii="Times New Roman" w:hAnsi="Times New Roman"/>
          <w:sz w:val="20"/>
        </w:rPr>
        <w:t xml:space="preserve">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product designated for priority review in an effort to facilitate the review. The FDA endeavors to review applications with priority review designations within six months of the filing date as compared to ten months for review of other NDAs under its current PDUFA review goals.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effect on irreversible morbidity or mortality or other clinical benefit, taking into account the severity, rarity, or prevalence of the condition and the availability or lack of alternative treatments. As a condition of approval, the FDA may require that a sponsor of a drug product receiving accelerated approval perform additional adequate and well-controlled post-marketing clinical trials. In addition, the FDA currently requires as a condition for accelerated approval pre-use submission of promotional materials, which could adversely impact the timing of the commercial launch of the product. Fast track designation, priority review and accelerated approval do not change the standards for approval but may expedite the development or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Food and Drug Administration Safety and Innovation Act established a category of drug products referred to as “breakthrough therapies” that may be eligible to receive breakthrough therapy designation. A sponsor may seek the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product if relevant criteria are met. If a product is designated as breakthrough therapy, the FDA will work with the sponsor to expedite the development and review of such drug product. </w:t>
      </w:r>
    </w:p>
    <w:p>
      <w:pPr>
        <w:pStyle w:val="TextBody"/>
        <w:bidi w:val="0"/>
        <w:spacing w:before="240" w:after="0"/>
        <w:jc w:val="left"/>
        <w:rPr>
          <w:rFonts w:ascii="Times New Roman" w:hAnsi="Times New Roman"/>
          <w:sz w:val="20"/>
        </w:rPr>
      </w:pPr>
      <w:r>
        <w:rPr>
          <w:rFonts w:ascii="Times New Roman" w:hAnsi="Times New Roman"/>
          <w:sz w:val="20"/>
        </w:rPr>
        <w:t xml:space="preserve">With passage of the 21st Century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standards is not maintained or if problems occur after the product reaches the market. Later discovery of previously unknown risks or problems with a product may result in labeling changes, restrictions on the product or even complete withdrawal of the product from the market. After approval, most changes to the approved product, such as adding new indications, certain manufacturing changes and additional labeling claims, are subject to further FDA review and approval. Drug product manufacturers and other entities involved in the manufacture and distribution of approved drug products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Any drug products for which we receive FDA approvals are subject to continuing regulation by the FDA, including, among other things, record-keeping requirements, reporting of adverse experiences or quality issues with the product, providing the FDA with updated safety and efficacy information, satisfaction of post-approval requirements or commitments, product sampling and distribution requirements, and complying with FDA promotion and advertising requirements. These promotion and advertising requirements include, among other things, standards for direct-to-consumer advertising, prohibitions against promoting drug products for uses, or in patient populations, that are not described in the drug product’s approved labeling, which is known as “off-label use,” rules for conducting industry-sponsored scientific and educational activities, and promotional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involving the internet. Failure to comply with post-approval requirements can have negative consequences, including adverse publicity, enforcement letters from the FDA, mandated corrective advertising or communications with doctors, and civil or criminal penalties. Although physicians may prescribe legally available drug products for off-label uses, manufacturers may not market or promote such off-label uses. Failure to comply with the applicable U.S. requirements at any time during the product development process, approval process or after approval, may subject an applicant, manufacturer or product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Hatch-Waxman Amendments </w:t>
      </w:r>
    </w:p>
    <w:p>
      <w:pPr>
        <w:pStyle w:val="TextBody"/>
        <w:bidi w:val="0"/>
        <w:spacing w:before="120" w:after="0"/>
        <w:jc w:val="left"/>
        <w:rPr>
          <w:rFonts w:ascii="Times New Roman" w:hAnsi="Times New Roman"/>
          <w:sz w:val="20"/>
        </w:rPr>
      </w:pPr>
      <w:r>
        <w:rPr>
          <w:rFonts w:ascii="Times New Roman" w:hAnsi="Times New Roman"/>
          <w:sz w:val="20"/>
        </w:rPr>
        <w:t xml:space="preserve">Section 505 of the FDCA describes three types of NDAs that may be submitted to request marketing authorization for a new drug product, the first being a 505(b)(1) NDA. A 505(b)(1) NDA is an application that contains full reports of investigations of safety and effectiveness. A 505(b)(2) NDA likewise contains full reports of investigations of safety and effectiveness relevant to a product, but some of the data are not owned by or licensed to the applicant. Section 505(j) establishes an abbreviated approval process for generic versions of approved drug products through the submission of an abbreviated new drug product application (“ANDA”). An ANDA generally provides for marketing of a drug product that has the same active ingredients in the same strengths and dosage form, and with the same labeling and route of administration as the listed drug product and has been shown to be bioequivalent to the listed drug product. ANDA applicants are required to conduct bioequivalence testing to confirm chemical and therapeutic equivalence to the branded reference drug product. Generic versions of drug products can often, and sometimes must, be substituted by pharmacists under prescriptions written for the branded reference drug product. </w:t>
      </w:r>
    </w:p>
    <w:p>
      <w:pPr>
        <w:pStyle w:val="TextBody"/>
        <w:bidi w:val="0"/>
        <w:spacing w:before="240" w:after="0"/>
        <w:jc w:val="left"/>
        <w:rPr>
          <w:rFonts w:ascii="Times New Roman" w:hAnsi="Times New Roman"/>
          <w:sz w:val="20"/>
        </w:rPr>
      </w:pPr>
      <w:r>
        <w:rPr>
          <w:rFonts w:ascii="Times New Roman" w:hAnsi="Times New Roman"/>
          <w:sz w:val="20"/>
        </w:rPr>
        <w:t xml:space="preserve">A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This regulatory pathway enables the applicant to rely, in part, on the FDA’s findings of safety and efficacy for an existing product, or published literature, in support of its application. Additional preclinical and clinical data may also be submitted. The FDA may then approve the new product candidate for all or some of the labeled indications for which the referenced product has been approved, or for any new indication sought by the 505(b)(2) applicant. </w:t>
      </w:r>
    </w:p>
    <w:p>
      <w:pPr>
        <w:pStyle w:val="TextBody"/>
        <w:bidi w:val="0"/>
        <w:spacing w:before="240" w:after="0"/>
        <w:jc w:val="left"/>
        <w:rPr>
          <w:rFonts w:ascii="Times New Roman" w:hAnsi="Times New Roman"/>
          <w:sz w:val="20"/>
        </w:rPr>
      </w:pPr>
      <w:r>
        <w:rPr>
          <w:rFonts w:ascii="Times New Roman" w:hAnsi="Times New Roman"/>
          <w:sz w:val="20"/>
        </w:rPr>
        <w:t xml:space="preserve">Upon submission of an ANDA or a 505(b)(2) NDA, an applicant must certify to the FDA at least one of the following (1) no patent information on the drug product that is relied upon by the ANDA or 505(b)(2) NDA (known as the reference drug product) has been submitted to the FDA; (2) such patent has expired; (3) the date on which such patent expires; or (4) such patent is invalid, unenforceable, or will not be infringed by the manufacture, use or sale of the drug product for which the ANDA or 505(b)(2) NDA is submitted. This last certification is known as a Paragraph IV Certification. If the NDA holder for the reference drug product or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30-month stay. Thus, approval of an ANDA or 505(b)(2) NDA could be delayed for a significant period of time depending on the patent certification the applicant makes and the reference drug product sponsor’s or patent owner’s decision to initiate patent litigation.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and distinct from the patent protection provisions, the Hatch-Waxman Amendments establish periods of regulatory exclusivity for certain approved drug products, during which the FDA cannot approve (or in some cases accept) an ANDA or 505(b)(2) application that relies on the branded reference drug product.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the holder of an NDA may obtain five years of exclusivity upon approval of a new drug product containing a new chemical entity that has not been previously approved by the FDA. The Hatch-Waxman Amendments also provide three years of marketing exclusivity to the holder of an NDA (including a 505(b)(2) NDA)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This three-year exclusivity period protects against FDA approval of ANDAs and 505(b)(2) NDAs for drug products that include the innovation that required the new clinical data, but generally allows the approval for non-protected characteristics and labeling.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Payor Coverage, Pricing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healthcare costs. Thus, sales of a product will depend, in part, on the extent to which third-party payors provide coverage and establish adequate reimbursement levels for the product. Third-party payors include government payor programs at the federal and state levels, including Medicare and Medicaid, managed care providers, private health insurers and other organizations. In the United States, no uniform policy of coverage and reimbursement for products exists among third-party payors. The process for determining whether a payor will provide coverage for a product may be separate from the process for setting the price or reimbursement rate that the payor will pay for the product. Third-party payors may limit coverage to specific products on an approved list, or formulary, which might not include all of the FDA-approved products for a particular indication, and which can change over time.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or other comparable regulatory approvals. Additionally, companies may also need to provide discounts to purchasers, private health plans or government healthcare programs, in order for the company’s products to be considered as a formulary option. Nonetheless, product candidates may not be considered by individual payors to be medically necessary or cost-effective. A payor’s decision to provide coverage for a product does not imply that a preferred formulary position or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Adequate third-party reimbursement may not be available to enable us to maintain price levels sufficient to realize an appropriate return on our investment in product development. </w:t>
      </w:r>
    </w:p>
    <w:p>
      <w:pPr>
        <w:pStyle w:val="TextBody"/>
        <w:bidi w:val="0"/>
        <w:spacing w:before="240" w:after="0"/>
        <w:jc w:val="left"/>
        <w:rPr>
          <w:rFonts w:ascii="Times New Roman" w:hAnsi="Times New Roman"/>
          <w:sz w:val="20"/>
        </w:rPr>
      </w:pPr>
      <w:r>
        <w:rPr>
          <w:rFonts w:ascii="Times New Roman" w:hAnsi="Times New Roman"/>
          <w:sz w:val="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 products. Adoption of such controls and measures, and tightening of restrictive policies in jurisdictions with existing controls and measures, could limit payments for pharmaceuticals such as our products and the product candidates that we are developing and could adversely affect our net revenue and results. See the discussion below under “</w:t>
      </w:r>
      <w:r>
        <w:rPr>
          <w:rFonts w:ascii="Times New Roman" w:hAnsi="Times New Roman"/>
          <w:i/>
          <w:sz w:val="20"/>
        </w:rPr>
        <w:t>U.S. Healthcare Reform</w:t>
      </w:r>
      <w:r>
        <w:rPr>
          <w:rFonts w:ascii="Times New Roman" w:hAnsi="Times New Roman"/>
          <w:sz w:val="20"/>
        </w:rPr>
        <w:t xml:space="preserve">”, and regarding the Inflation Reduction Act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Different pricing and reimbursement schemes exist in other countries. In the European Economic Area (“EEA”) (which is currently comprised of the 27 Member States of the EU plus Norway, Iceland and Liechtenstein), governments influence the price of pharmaceutical products through their pricing and reimbursement rules and control of national healthcare systems that fund a large part of the cost of those products to consumers. Some countries in the EEA operate positive and negative list systems under which some medicinal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are selected for coverage (positive list) and others are explicitly listed as excluded from reimbursement (negative list). To obtain reimbursement or pricing approval, some of these EEA countries may require the completion of clinical trials that compare the cost-effectiveness of a particular product to currently available therapies. Other EEA countries allow companies to fix their own prices for medicinal products, but monitor and control company profits. The downward pressure on healthcare costs in general, particularly prescription drug products,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products will allow favorable reimbursement and pricing arrangements for any of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there have been, and continue to be, proposals by the federal government, state governments, regulators and third-party payors to control or manage the increased costs of healthcare and, more generally, to reform the U.S. healthcare system. The pharmaceutical industry has been a particular focus of these efforts and has been significantly affected by major legislative initiatives. For example, in March 2010, the ACA was enacted, which is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and which substantially changes the way healthcare is financed by both governmental and private insurers, and significantly impacts the U.S. pharmaceutical industry. The ACA, among other things, (1) subjected therapeutic biologics to potential competition by lower-cost biosimilars by creating a licensure framework for follow-on biologic products, (2) prescribed a new methodology by which rebates owed by manufacturers under the Medicaid Drug Rebate Program are calculated for drug products that are inhaled, infused, instilled, implanted or injected, (3) increased the minimum Medicaid rebates owed by manufacturers under the Medicaid Drug Rebate Program and extended the rebate program to individuals enrolled in Medicaid managed care organizations, (4) established annual nondeductible fees and taxes on manufacturers of certain branded prescription drug products, apportioned among these entities according to their market share in certain government healthcare programs, (5) established a new Medicare Part D coverage gap discount program, in which manufacturers must agree to offer point-of-sale discounts off negotiated prices of applicable brand drug products to eligible beneficiaries during their coverage gap period, as a condition for the manufacturer’s outpatient drug products to be covered under Medicare Part D, (6)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(7) expanded the entities eligible for discounts under the 340B Public Health Service Act program, (8) created a new Patient-Centered Outcomes Research Institute to oversee, identify priorities in, and conduct comparative clinical effectiveness research, along with funding for such research, and (9) established a Center for Medicare Innovation at the CMS to test innovative payment and service delivery models to lower Medicare and Medicaid spending, potentially including prescription drug product spending.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judicial, Congressional and Administrative challenges to certain aspects of the ACA, and we expect there will be additional challenges and amendments to the ACA in the future. For example, legislation affecting the implementation of certain taxes under the ACA has been signed into law. The TCJA included a provision that repealed, effective January 1, 2019, the tax-based shared responsibility payment imposed by the ACA on certain individuals who fail to maintain qualifying health coverage for all or part of a year that is commonly referred to as the “individual mandate”. Further, the Bipartisan Budget Act of 2018 (the “BBA”), among other things, amended the ACA, effective January 1, 2019, to increase from 50% to 70% the point-of-sale discount that is owned by pharmaceutical manufacturers who participate in Medicare Part D and to close the coverage gap in most Medicare drug plans, commonly referred to as the “donut hole”. On June 17, 2021 the U.S. Supreme Court dismissed a challenge on procedural grounds that argued the ACA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unconstitutional in its entirety because the “individual mandate” was repealed by Congress. Thus, the ACA will remain in effect in its current form. Further, prior to the U.S. Supreme Court ruling, on January 28, 2021, former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former President Biden signed the Inflation Reduction Act of 2022 into law, which, among other things, extends enhanced subsidies for individuals purchasing health insurance coverage in ACA marketplaces through plan year 2025. The Inflation Reduction Act also eliminates the “donut hole” under the Medicare Part D program beginning in 2025 by significantly lowering the beneficiary maximum out-of-pocket cost through a newly established manufacturer discount program. It is unclear how additional healthcare reform measures of the Trump or subsequent administrations or other efforts, if any, to modify or invalidate the ACA or its implementing regulations, or portions thereof, will impact our business. Any health care reform measures will likely take time to unfold, and could have an impact on coverage and reimbursement for healthcare items and services. We cannot predict the ultimate content, timing or effect of any healthcare reform legislation or other policy or the impact of potential legislation or other policy on us.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and administrative changes have been proposed and adopted in the United States since the ACA was enacted to reduce healthcare expenditures. For example, the Budget Control Act of 2011, among other things, in connection with subsequent legislation, reduced Medicare payments to providers, on average, by 2% per fiscal year. These reductions went into effect on April 1, 2013 and, due to subsequent legislative amendments to the statute, including the BBA,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impact the ability of relevant agencies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16, 2019, CMS adopted a final rule that, among other things, will require Part D plans to adopt Real Time Benefit Tools that are capable of integrating with electronic prescribing or electronic health record systems and have the capability to inform prescribers when lower-cost alternative therapies are available under a beneficiary’s prescription drug product benefit. Similarly, since 2021, Part D Explanation of Benefits transmittals to members are required to inform Part D beneficiaries about drug product prices and lower cost therapeutic alternatives. On August 16, 2022, former President Biden signed into law the Inflation Reduction Act of 2022, which among other things, contains two specific provisions affecting pricing for drug products and biologics. The first provision allows for CMS to negotiate prices for certain single-source drug products and biologics reimbursed under Medicare Part B and Part D, beginning with 10 high-cost drug products paid for by Medicare Part D starting in 2026, followed by 15 Part D drug products in 2027, 15 Part B or Part D drug products in 2028, and 20 Part B or Part D drug products in 2029 and beyond. The legislation subjects drug product manufacturers to civil monetary penalties and a potential excise tax for failing to comply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legislation by offering a price that is not equal to or less than the negotiated “maximum fair price” under the law or for taking price increases that exceed inflation. The legislation also caps Medicare beneficiaries’ annual out-of-pocket drug product expenses at $2,000. The second provision imposes a requirement that pharma manufacturers provide a rebate to Medicare, if the manufacturer increases price at a rate higher than the measured inflation rate. Medicaid has had a rebate program for several years, but Medicare did not. The intent is to limit price increases. The new rebate applies to drug products covered by Medicare under Part B or Part D. The rebate obligation applies if the average sales price (for Part B) or average manufacturers’ price (for Part D) of a single source drug product or biologic increases more than the rate of inflation (as measured by the index for urban consumers). The rebate amount is the total number of units sold in Medicare coverage multiplied by the amount by which the price exceeds the inflation adjusted price. The base year against which the inflation adjustment is measured is 2021. If the price exceeds the inflation adjusted price, the difference is multiplied by the units sold in Medicare and that amount is to be rebated. A failure to pay the rebate is subject to a penalty of 125% of the original rebate amount. The provision for Part D takes effect in 2022, with rebates to be paid beginning in 2023. The provision for Part B takes effect in 2023.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states appear interested in public policy designed to encourage drug product importation from other countries and bulk purchasing. Furthermore, there has been increased interest by third-party payors and governmental authorities in reference pricing systems and publication of discounts and list prices.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other healthcare reform measures that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In the United States, our activities are potentially subject to regulation by various federal, state and local authorities in addition to the FDA, including the Centers for Medicare and Medicaid Services, other divisions of the United States Department of Health and Human Services (</w:t>
      </w:r>
      <w:r>
        <w:rPr>
          <w:rFonts w:ascii="Times New Roman" w:hAnsi="Times New Roman"/>
          <w:i/>
          <w:sz w:val="20"/>
        </w:rPr>
        <w:t>e.g.</w:t>
      </w:r>
      <w:r>
        <w:rPr>
          <w:rFonts w:ascii="Times New Roman" w:hAnsi="Times New Roman"/>
          <w:sz w:val="20"/>
        </w:rPr>
        <w:t xml:space="preserve">, the Office of Inspector General), the United States Department of Justice and individual United States Attorney offices within the Department of Justice, and state and local governments. For example, various activities, including but not limited to sales, marketing and scientific/educational grant programs, must comply with the anti-fraud and abuse provisions of the Social Security Act, the federal Anti-Kickback Statute, the federal False Claims Act and similar state laws, each as amended. Failure to comply with such requirements could potentially result in substantial penalties to us. Even if we structure our programs with the intent of compliance with such laws, there can be no certainty that we would not need to defend against enforcement or litigation, in light of the fact that there is significant enforcement interest in pharmaceutical companies in the United States, and some of the applicable laws are quite broad in scope. </w:t>
      </w:r>
    </w:p>
    <w:p>
      <w:pPr>
        <w:pStyle w:val="TextBody"/>
        <w:bidi w:val="0"/>
        <w:spacing w:before="240" w:after="0"/>
        <w:jc w:val="left"/>
        <w:rPr>
          <w:rFonts w:ascii="Times New Roman" w:hAnsi="Times New Roman"/>
          <w:sz w:val="20"/>
        </w:rPr>
      </w:pPr>
      <w:r>
        <w:rPr>
          <w:rFonts w:ascii="Times New Roman" w:hAnsi="Times New Roman"/>
          <w:sz w:val="20"/>
        </w:rPr>
        <w:t xml:space="preserve">The federal Anti-Kickback Statute prohibits any person, including a pharmaceutical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w:t>
      </w:r>
    </w:p>
    <w:p>
      <w:pPr>
        <w:pStyle w:val="TextBody"/>
        <w:bidi w:val="0"/>
        <w:spacing w:before="240" w:after="0"/>
        <w:jc w:val="left"/>
        <w:rPr>
          <w:rFonts w:ascii="Times New Roman" w:hAnsi="Times New Roman"/>
          <w:sz w:val="20"/>
        </w:rPr>
      </w:pPr>
      <w:r>
        <w:rPr>
          <w:rFonts w:ascii="Times New Roman" w:hAnsi="Times New Roman"/>
          <w:sz w:val="20"/>
        </w:rPr>
        <w:t xml:space="preserve">The term “remuneration” is not defined in the federal Anti-Kickback Statute and has been broadly interpreted to include anything of value, including for example, gifts, discounts, the furnishing of supplies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government can establish a violation of the Anti-Kickback Statute without proving that a person or entity had actual knowledge of this statute or specific intent to violate it. In addition, the 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payor, not only the Medicare and Medicaid programs in at least some cases, and do not contain safe harbors. </w:t>
      </w:r>
    </w:p>
    <w:p>
      <w:pPr>
        <w:pStyle w:val="TextBody"/>
        <w:bidi w:val="0"/>
        <w:spacing w:before="240" w:after="0"/>
        <w:jc w:val="left"/>
        <w:rPr>
          <w:rFonts w:ascii="Times New Roman" w:hAnsi="Times New Roman"/>
          <w:sz w:val="20"/>
        </w:rPr>
      </w:pPr>
      <w:r>
        <w:rPr>
          <w:rFonts w:ascii="Times New Roman" w:hAnsi="Times New Roman"/>
          <w:sz w:val="20"/>
        </w:rPr>
        <w:t>The federal False Claims Act imposes liability on any person or entity that, among other things, knowingly presents, or causes to be presented, a false or fraudulent claim for payment of government funds, or knowingly makes, uses, or causes to be made or used a false statement material to a false or fraudulent claim, or knowingly conceals or knowingly and improperly avoids, or decreases an obligation to pay money to the government. The qui tam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AMP, improper promotion of off-label uses (</w:t>
      </w:r>
      <w:r>
        <w:rPr>
          <w:rFonts w:ascii="Times New Roman" w:hAnsi="Times New Roman"/>
          <w:i/>
          <w:sz w:val="20"/>
        </w:rPr>
        <w:t>i.e.</w:t>
      </w:r>
      <w:r>
        <w:rPr>
          <w:rFonts w:ascii="Times New Roman" w:hAnsi="Times New Roman"/>
          <w:sz w:val="20"/>
        </w:rPr>
        <w:t xml:space="preserve">, uses not expressly approved by the FDA in a drug product’s label), and allegations as to misrepresentations with respect to the services rendered. Our activities relating to the reporting of discount and rebate information and other information affecting federal, state and third-party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healthcare fraud provisions under the U.S. federal Health Insurance Portability and Accountability Act of 1996 and its implementing regulations (“HIPAA”) impose criminal liability for, among other things, knowingly and willfully executing, or attempting to execute, a scheme to defraud any health care benefit program, including private third-party payors, or falsifying or covering up a material fact or making any materially false or fraudulent statement in connection with the delivery of or payment for health care benefits, items or services.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or our marketing activities may be limited by, data privacy and security law and regulation promulgated by both the U.S. federal government and the U.S. states in which we conduct our business. For example, under HIPAA, the U.S. Department of Health and Human Services imposes upon “covered entities” (broadly, healthcare providers, health plans and healthcare clearinghouses) and their respective “business associates” (individuals or entities that create, receive, maintain or transmit protected health information on behalf of a covered entity) the HIPAA Privacy and Security Rules which include privacy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requirements to implement appropriate administrative, physical and technical safeguards to ensure the confidentiality, integrity, and security of electronic protected health information; and breach response notification obligations. Although we are neither a covered entity nor business associate, and therefore not subject to the HIPAA Privacy and Security Rules, we must monitor developments with these requirements for changing obligations that may apply to us. The FTC also requires companies to take appropriate steps to keep consumers’ personal information secure and to make accurate statements regarding how they secure personal information under their custody or control, such as in a privacy notice. The FTC also expects a company’s data security measures to be reasonable and appropriate in light of the sensitivity and volume of personal information it holds, the size and complexity of its business, and the cost of available tools to improve data security and reduce vulnerabilities. Individually identifiable health information, which we process, is considered sensitive data that merits stronger safeguards. Violations of the foregoing FTC requirements may constitute unfair or deceptive acts or practices under Section 5(a) of the FTC Act. While we do not intend to engage in unfair or deceptive acts or practices, the FTC has the power to bring enforcement actions based on the FTC’s interpretation of public privacy statements. Further, events that we cannot fully control, such as data breaches, may also result in civil penalties, FTC enforcement or enforcement by U.S. state attorneys general or other regulators. Various U.S. states have implemented privacy laws and regulations that regulate the use and disclosure of health information and other personal information. For example, the CCPA, established a privacy framework for covered businesses by, among other items, expanding the definition of personal information, establishing new data privacy rights for consumers who are California residents, imposing rules on the collection of personal information from minors, and creating a statutory damages framework for violations of the CCPA, including for failure to implement reasonable security procedures and practices to prevent data breaches. Penalties for violations of the CCPA include civil penalties and may result in related legal claims. The CPRA, most provisions of which became operative on January 1, 2023, introduced significant amendments to the CCPA and established and funded a dedicated California privacy regulator, the California Privacy Protection Agency. Several other states have implemented similar consumer privacy laws that took effect in the past year or will take effect in the near future. Further, Washington’s My Health My Data Act, taking effect July 1, 2024, imposes requirements specific to consumer health data. The foregoing U.S. state privacy laws impose many similar obligations as the CCPA on our processing of personal information. Other U.S. states are considering similar privacy legislation, and industry organizations regularly adopt and advocate for new standards in these areas. The uncertainty, ambiguity, complexity, and potential inconsistency surrounding the implementation and interpretation of the CCPA and other enacted or forthcoming U.S. state privacy laws exemplify the vulnerability of our business to the evolving regulatory environment related to the privacy, security and confidentiality of personal information and protected health information. We may be subject to fines, penalties, or private actions in the event of non-compliance with such laws. </w:t>
      </w:r>
    </w:p>
    <w:p>
      <w:pPr>
        <w:pStyle w:val="TextBody"/>
        <w:bidi w:val="0"/>
        <w:spacing w:before="240" w:after="0"/>
        <w:jc w:val="left"/>
        <w:rPr>
          <w:rFonts w:ascii="Times New Roman" w:hAnsi="Times New Roman"/>
          <w:sz w:val="20"/>
        </w:rPr>
      </w:pPr>
      <w:r>
        <w:rPr>
          <w:rFonts w:ascii="Times New Roman" w:hAnsi="Times New Roman"/>
          <w:sz w:val="20"/>
        </w:rPr>
        <w:t xml:space="preserve">Our activities outside of the U.S. implicate local, state, provincial, and national data protection standards, impose additional compliance requirements and generate additional risks of enforcement for non-compliance. Such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remediate issues caused by such breaches. Compliance with these laws is challenging, constantly evolving, time consuming, and requires a flexible privacy framework and substantial resources. Compliance efforts will likely be an increasing and substantial cost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 products, devices, biologics and medical supplies for which payment is available under Medicare, Medicaid or the Children’s Health Insurance Program, with specific exceptions, to annually report to CMS information related to payments or other transfers of value made to physicians and teaching hospitals, as well as ownership and investment interests held by physicians and their immediate family members. In addition to this federal requirement, a number of individual states and foreign jurisdictions require detailed reporting and often public disclosures concerning transfers of value to physicians, other health care providers and family members. Effective January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2022, these reporting obligations were extended to include transfers of value made to certain non-physician providers such as physician assistants and nurse practitioners.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such requirements may require investment in infrastructure to ensure that tracking is performed properly, and some of these laws result in the public disclosure of various types of payments and relationships. </w:t>
      </w:r>
    </w:p>
    <w:p>
      <w:pPr>
        <w:pStyle w:val="TextBody"/>
        <w:bidi w:val="0"/>
        <w:spacing w:before="240" w:after="0"/>
        <w:jc w:val="left"/>
        <w:rPr>
          <w:rFonts w:ascii="Times New Roman" w:hAnsi="Times New Roman"/>
          <w:sz w:val="20"/>
        </w:rPr>
      </w:pPr>
      <w:r>
        <w:rPr>
          <w:rFonts w:ascii="Times New Roman" w:hAnsi="Times New Roman"/>
          <w:sz w:val="20"/>
        </w:rPr>
        <w:t xml:space="preserve">Several states have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 may affect our sales, marketing and other promotional activities by imposing administrative burdens on us. If we fail to track and report as required by these laws or otherwise comply with these laws, we could be subject to the penalty provisions of the pertinent state and federal authorities. </w:t>
      </w:r>
    </w:p>
    <w:p>
      <w:pPr>
        <w:pStyle w:val="TextBody"/>
        <w:bidi w:val="0"/>
        <w:spacing w:before="240" w:after="0"/>
        <w:jc w:val="left"/>
        <w:rPr>
          <w:rFonts w:ascii="Times New Roman" w:hAnsi="Times New Roman"/>
          <w:sz w:val="20"/>
        </w:rPr>
      </w:pPr>
      <w:r>
        <w:rPr>
          <w:rFonts w:ascii="Times New Roman" w:hAnsi="Times New Roman"/>
          <w:sz w:val="20"/>
        </w:rPr>
        <w:t xml:space="preserve">Where our activities involve foreign government officials, they may also potentially be subject to the FCPA. If we seek to have a product paid for with federal funds under the Medicaid programs or Medicare Part B, various obligations, including government price reporting, are required under the Medicaid rebate provisions of the Omnibus Budget Reconciliation Act of 1990 and the Veterans Health Care Act of 1992, each as amended, which generally require products to be offered at substantial rebates/discounts to such programs and certain purchasers. Government price reporting may also be required with respect to average sales price, which serves as the basis of reimbursement under Medicare Part B.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(“NIH”)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integrity oversight and reporting obligations to resolve allegations of non-compliance,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HCPs.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 Marketing Exclusivity </w:t>
      </w:r>
    </w:p>
    <w:p>
      <w:pPr>
        <w:pStyle w:val="TextBody"/>
        <w:bidi w:val="0"/>
        <w:spacing w:before="120" w:after="0"/>
        <w:jc w:val="left"/>
        <w:rPr>
          <w:rFonts w:ascii="Times New Roman" w:hAnsi="Times New Roman"/>
          <w:sz w:val="20"/>
        </w:rPr>
      </w:pPr>
      <w:r>
        <w:rPr>
          <w:rFonts w:ascii="Times New Roman" w:hAnsi="Times New Roman"/>
          <w:i/>
          <w:sz w:val="20"/>
        </w:rPr>
        <w:t>Hatch-Waxman Exclusivity</w:t>
      </w:r>
      <w:r>
        <w:rPr>
          <w:rFonts w:ascii="Times New Roman" w:hAnsi="Times New Roman"/>
          <w:sz w:val="20"/>
        </w:rPr>
        <w:t xml:space="preserve">. Market exclusivity provisions under the FDCA can also delay the submission or the approval of certain applications of other companies seeking to reference another company’s NDA. If the new drug product is a new chemical entity subject to an NDA, the FDCA provides a five-year period of non-patent marketing exclusivity within the United States to the first applicant to obtain approval of an NDA for a new chemical entity. A drug product is a new chemical entity if the FDA has not previously approved any other new drug product containing the same active moiety, which is the molecule or ion responsible for the action of the drug substance. This definition is currently under FDA review. During the exclusivity period, the FDA may not accept for review an ANDA or a Section 505(b)(2) NDA submitted by another company for another version of such drug product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product. This three-year exclusivity covers only the conditions associated with the new clinical investigations and does not prohibit the FDA from approving ANDAs for drug products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240" w:after="0"/>
        <w:jc w:val="left"/>
        <w:rPr>
          <w:rFonts w:ascii="Times New Roman" w:hAnsi="Times New Roman"/>
          <w:sz w:val="20"/>
        </w:rPr>
      </w:pPr>
      <w:r>
        <w:rPr>
          <w:rFonts w:ascii="Times New Roman" w:hAnsi="Times New Roman"/>
          <w:i/>
          <w:sz w:val="20"/>
        </w:rPr>
        <w:t>Pediatric Exclusivity</w:t>
      </w:r>
      <w:r>
        <w:rPr>
          <w:rFonts w:ascii="Times New Roman" w:hAnsi="Times New Roman"/>
          <w:sz w:val="20"/>
        </w:rPr>
        <w:t xml:space="preserve">. Pediatric exclusivity is another type of regulatory market exclusivity in the United States. Pediatric exclusivity, if granted, adds six months to any existing exclusivity period or patent term. This six-month exclusivity may be granted by the FDA based on the completion of a pediatric clinical trial in accordance with provisions of the FDCA.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Europe/Rest of World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we are subject to a variety of regulations in other jurisdictions governing, among other things, clinical trials, pricing and reimbursement, anti-bribery, advertising and promotion, data privacy and security and any commercial sales and distribution of our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(“CTA”)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In the EEA, for example, a CTA must be submitted to each country’s national health authority and an independent ethics committee, much like the FDA and IRB, respectively. Once the CTA is approved in accordance with the EU Clinical Trials Directive 2001/20/EC (the “Clinical Trials Directive”) and the related national implementing provisions of the relevant individual EEA country’s requirements, the clinical trial described in that CTA may proceed. </w:t>
      </w:r>
    </w:p>
    <w:p>
      <w:pPr>
        <w:pStyle w:val="TextBody"/>
        <w:bidi w:val="0"/>
        <w:spacing w:before="240" w:after="0"/>
        <w:jc w:val="left"/>
        <w:rPr>
          <w:rFonts w:ascii="Times New Roman" w:hAnsi="Times New Roman"/>
          <w:sz w:val="20"/>
        </w:rPr>
      </w:pPr>
      <w:r>
        <w:rPr>
          <w:rFonts w:ascii="Times New Roman" w:hAnsi="Times New Roman"/>
          <w:sz w:val="20"/>
        </w:rPr>
        <w:t xml:space="preserve">In April 2014, the new Clinical Trials Regulation, (EU) No 536/2014 (the “Clinical Trials Regulation”) was adopted. The Clinical Trials Regulation entered into force on January 31, 2022. The Clinical Trials Regulation is directly applicable in all the EEA countries, repealing the prior Clinical Trials Directive. The new Clinical Trials Regulation allows a sponsor to start and conduct a clinical trial in accordance with the Clinical Trials Directive during a transitional period of one year after the application date, i.e. January 31, 2022. The transition period for the trials ongoing at the moment of applicability will be a maximum of three years after the date of application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Clinical Trials Regulation.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 transitional period. The new Clinical Trials Regulation is intended to simplify and streamline the approval of clinical trials in the EEA.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into two parts.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EEA, such as countries in Eastern Europe, Latin America or Asia, the requirements governing the conduct of clinical trials vary from country to country. Internationally, clinical trials are generally required to be conducted in accordance with GCP, applicable regulatory requirements of each jurisdiction and the medical ethics principles that have their origins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In the EEA, medicinal products can be commercialized only after obtaining a Marketing Authorization (“MA”). There are several procedures for requesting marketing authorization which can be more efficient than applying for authorization on a country-by-country basis. There is a “centralized” procedure allowing submission of a single marketing authorization application to the EMA. If the EMA issues a positive opinion, the European Commission will grant a centralized marketing authorization that is valid in all EEA countries. </w:t>
      </w:r>
    </w:p>
    <w:p>
      <w:pPr>
        <w:pStyle w:val="TextBody"/>
        <w:bidi w:val="0"/>
        <w:spacing w:before="240" w:after="0"/>
        <w:jc w:val="left"/>
        <w:rPr>
          <w:rFonts w:ascii="Times New Roman" w:hAnsi="Times New Roman"/>
          <w:sz w:val="20"/>
        </w:rPr>
      </w:pPr>
      <w:r>
        <w:rPr>
          <w:rFonts w:ascii="Times New Roman" w:hAnsi="Times New Roman"/>
          <w:sz w:val="20"/>
        </w:rPr>
        <w:t xml:space="preserve">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 </w:t>
      </w:r>
    </w:p>
    <w:p>
      <w:pPr>
        <w:pStyle w:val="TextBody"/>
        <w:bidi w:val="0"/>
        <w:spacing w:before="240" w:after="0"/>
        <w:jc w:val="left"/>
        <w:rPr>
          <w:rFonts w:ascii="Times New Roman" w:hAnsi="Times New Roman"/>
          <w:sz w:val="20"/>
        </w:rPr>
      </w:pPr>
      <w:r>
        <w:rPr>
          <w:rFonts w:ascii="Times New Roman" w:hAnsi="Times New Roman"/>
          <w:sz w:val="20"/>
        </w:rPr>
        <w:t xml:space="preserve">There is also a “decentralized” procedure allowing companies to file identical applications to several EEA countries simultaneously for product candidates that have not yet been authorized in any EEA country and a “mutual recognition” procedure allowing companies that have a product already authorized in one EEA country to apply for that authorization to be recognized by the competent authorities in other EEA countries. Under the “decentralized” procedure, an identical dossier is submitted to the competent authorities of each of the EEA countries in which the MA is sought, one of which is selected by the applicant as the Reference Member State (“RMS”). If the RMS proposes to authorize the product, and the other EEA countries do not raise objections, the product is authorized in all the EEA countries where the authorization was sought. Before granting the MA, the EMA or the competent authorities of the EEA countries make an assessment of the risk-benefit balance of the product on the basis of scientific criteria concerning its quality,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procedures to obtain price approvals, coverage and reimbursement can take considerable time after the receipt of a MA. Many EEA countries periodically review their reimbursement of medicinal products, which could have an adverse impact on reimbursement status. In addition, we expect that legislators, policymakers and healthcare insurance funds in the EEA countries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EEA countries, including some EU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countries, including those representing the larger markets. The HTA process, which is currently governed by national laws in each EEA country, is the procedure to assess therapeutic, economic and societal impact of a given medicinal product in the national healthcare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systems of the individual country. The outcome of an HTA will often influence the pricing and reimbursement status granted to these medicinal products by the competent authorities of individual EEA countries. The extent to which pricing and reimbursement decisions are influenced by the HTA of the specific medicinal product currently varies between EEA countries, although the HTA Regulation, which aims to harmonize the clinical benefit assessment of HTA across the EEA, will apply from January 12, 2025. If we are unable to maintain favorable pricing and reimbursement status in EEA countries that represent significant markets, our anticipated revenue from and growth prospects for our products in the EEA could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physicians are also governed by strict laws, such as national anti-bribery laws of EEA countries,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EEA,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EEA. Other applicable laws at the EEA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EEA could be penalized by administrative measures,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data privacy and security regulations in the United States, we may be subject to, or our marketing activities may be limited by, data privacy and security regulations in the EEA, Switzerland, or the United Kingdom (“UK”), where the legislative and regulatory landscape continues to evolve. There has been increased regulator attention to privacy and data security issues that could potentially affect our business, including through legislation such as the EEA GDPR and UK GDPR, which each imposes strict obligations on the processing of personal data, including the transfer of personal data from the EEA, Switzerland, or UK to third countries that the European Commission has determined does not ensure an adequate level of protection, such as the United States. If we violate the GDPR, we may face significant penalties of up to EUR 10,000,000 or 2% of our total worldwide annual turnover, or for more serious violations, up to EUR 20,000,000 or 4% of our total worldwide annual turnover. </w:t>
      </w:r>
    </w:p>
    <w:p>
      <w:pPr>
        <w:pStyle w:val="TextBody"/>
        <w:bidi w:val="0"/>
        <w:spacing w:before="240" w:after="0"/>
        <w:jc w:val="left"/>
        <w:rPr>
          <w:rFonts w:ascii="Times New Roman" w:hAnsi="Times New Roman"/>
          <w:sz w:val="20"/>
        </w:rPr>
      </w:pPr>
      <w:r>
        <w:rPr>
          <w:rFonts w:ascii="Times New Roman" w:hAnsi="Times New Roman"/>
          <w:sz w:val="20"/>
        </w:rPr>
        <w:t xml:space="preserve">The GDPR and other EEA and UK data privacy and security regulations generally restrict the transfer of personal data from the EEA, UK and Switzerland, to the United States and certain other third countries unless the parties to the transfer have implemented specific safeguards to protect the transferred personal data. One of the primary safeguards on which companies may rely to import or export personal data from had been the EU-U.S. Privacy Shield and Swiss-U.S. Privacy Shield frameworks administered by the U.S. Department of Commerce. However, the EU-U.S. Privacy Shield was invalidated in July 2020 by the Court of Justice of the European Union (the “CJEU”) in a case known as “Schrems II.” Following this decision, the Swiss Federal Data Protection and Information Commissioner (the “FDPIC”) announced that the Swiss-U.S. Privacy Shield does not provide adequate safeguards for the purposes of personal data transfers from Switzerland to third countries that are deemed as not providing adequate protection, including the United States. While the FDPIC does not have authority to invalidate the Swiss-U.S. Privacy Shield regime, the FDPIC’s announcement casts doubt on the viability of the Swiss-U.S. Privacy Shield as a compliance mechanism for Swiss-U.S. data transfers. </w:t>
      </w:r>
    </w:p>
    <w:p>
      <w:pPr>
        <w:pStyle w:val="TextBody"/>
        <w:bidi w:val="0"/>
        <w:spacing w:before="240" w:after="0"/>
        <w:jc w:val="left"/>
        <w:rPr>
          <w:rFonts w:ascii="Times New Roman" w:hAnsi="Times New Roman"/>
          <w:sz w:val="20"/>
        </w:rPr>
      </w:pPr>
      <w:r>
        <w:rPr>
          <w:rFonts w:ascii="Times New Roman" w:hAnsi="Times New Roman"/>
          <w:sz w:val="20"/>
        </w:rPr>
        <w:t xml:space="preserve">The CJEU’s decision in Schrems II also raised questions about whether one of the primary alternatives to the EU-U.S. Privacy Shield, namely the European Commission’s Standard Contractual Clauses, can lawfully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(the “EDPB”) would require the parties to that transfer to implement certain supplementary technical, organizational and/or contractual measures to rely on the Standard Contractual Clauses as a lawful “transfer mechanism.” However, the draft guidance from the EDPB on such supplementary technical, organizational and/or contractual measures appears to conclude that any combination of such measures may not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United States public authorities and commentary in draft EDPB guidance, include the United States in certain circumstances (e.g., where Section 702 of the U.S. Foreign Intelligence Surveillance Act applies). Further, the UK Information Commissioner’s Office has provided for separate international data transfer mechanisms for restricted transfers of data from the UK: an international data transfer agreement (the UK equivalent of the EU Standard Contractual Clauses) (“IDTA”) and an international data transfer addendum (which amends the EU Standard Contractual Clauses for purposes of international data transfers from the UK to countries without an essentially equivalent data protection framework) (the “Addendum”). Both the IDTA and the Addendum came into force in March 2022.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 </w:t>
      </w:r>
    </w:p>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applicable foreign regulatory requirements, we may be subject to, among other things, fines, suspension or withdrawal of regulatory approvals, product recalls, seizure of products, operating restrictions or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November 28, 2025, we have seven full time employees, including three employees who have M.D.s or Ph.D.s As a majority owned subsidiary of Scilex, we have been dependent upon the services provided by Scilex’s employees, including the equivalent of four Scilex employees providing full time services to us. We expect that our employees of Scilex and will devote a portion of their time to our business and affairs on an ad hoc basis as necessary to manage and conduct our operations. Scilex currently has 27 full-time employees, including three employees who have M.D.s or Ph.D.s providing services to us. Within that workforce, three employees were primarily engaged in research and development and 24 were primarily engaged in general management and administration. We have approximately 12 contractors and consultants, along with four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full-time employees from Scilex dedicated to the research and development of SP-102. None of Scilex’s employees are represented by labor unions or covered by collective bargaining agreements.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Business Combination, we will enter into the Transition Services Agreement with Scilex, pursuant to which we will be able to utilize certain employees and other service providers of Scilex to operate our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$2,000,000 per annum until all payments under the Oramed Note have been paid in full in cash, and we will reimburse Scilex for its out of pocket fees, costs or expenses. During the transition period, we plan to engage and increase full time employees to support our research and development, general administrative, manufacturing, regulatory and commercial functions as we enter the final stage of development and pre-launch commercialization planning. The term of the Transition Services Agreement will be three years following the closing of the Business Combination, which we believe is sufficient time for us to develop our commercial infrastructure and other business functions.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and Properties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maintain our principal executive office in approximately 3,000 square feet of space provided at no cost by Scilex at Scilex’s principal executive office, which is currently located in Palo Alto, California, and consists of approximately 12,500 square feet of leased office space. The lease term expires in September 2027. We believe our facilities are adequate to meet our current needs. As we expand, we believe appropriate additional or alternative space will be available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various legal proceedings, including those that may arise in the ordinary course of business. We are not presently a party to any legal proceedings that, in the opinion of management, would have a material adverse effect on our business. Regardless of outcome, such proceedings or claims can have an adverse impact on us because of defense and settlement costs, diversion of resources, and other factors, and there can be no assurances that favorable outcomes will be obtained. </w:t>
      </w:r>
    </w:p>
    <w:p>
      <w:pPr>
        <w:pStyle w:val="TextBody"/>
        <w:bidi w:val="0"/>
        <w:spacing w:before="360" w:after="0"/>
        <w:jc w:val="left"/>
        <w:rPr>
          <w:rFonts w:ascii="Times New Roman" w:hAnsi="Times New Roman"/>
          <w:b/>
          <w:sz w:val="20"/>
        </w:rPr>
      </w:pPr>
      <w:r>
        <w:rPr>
          <w:rFonts w:ascii="Times New Roman" w:hAnsi="Times New Roman"/>
          <w:b/>
          <w:sz w:val="20"/>
        </w:rPr>
        <w:t xml:space="preserve">Our Corporate History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under the name “Denali Capital Acquisition Corp.” on January 5, 2022 as a Cayman Islands exempted company for the purpose of effecting a merger, share exchange, asset acquisition, share purchase, reorganization or similar business combination with one or more businesses or entities. On September 22, 2025, we changed our jurisdiction of incorporation by deregistering as a Cayman Islands exempted company and continuing and domesticating as a corporation incorporated under the laws of the State of Delaware. On September 22, 2025, we changed our name to “Semnur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JOBS Act. As an emerging growth company,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are currently a “smaller reporting company” as defined in Item 10(f)(1) of Regulation S-K. Smaller reporting companies may take advantage of certain reduced disclosure obligations, including, among other things, providing only two years of audited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Website </w:t>
      </w:r>
    </w:p>
    <w:p>
      <w:pPr>
        <w:pStyle w:val="TextBody"/>
        <w:bidi w:val="0"/>
        <w:spacing w:before="120" w:after="0"/>
        <w:jc w:val="left"/>
        <w:rPr>
          <w:rFonts w:ascii="Times New Roman" w:hAnsi="Times New Roman"/>
          <w:sz w:val="20"/>
        </w:rPr>
      </w:pPr>
      <w:r>
        <w:rPr>
          <w:rFonts w:ascii="Times New Roman" w:hAnsi="Times New Roman"/>
          <w:sz w:val="20"/>
        </w:rPr>
        <w:t xml:space="preserve">Our website address is www.semnurpharma.com. We do not incorporate the information on, or accessible through, our website into this prospectus, and you should not consider any information on, or accessible through, our website as part of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63562_12"/>
      <w:bookmarkEnd w:id="13"/>
      <w:r>
        <w:rPr>
          <w:rFonts w:ascii="Times New Roman" w:hAnsi="Times New Roman"/>
          <w:b/>
          <w:sz w:val="20"/>
        </w:rPr>
        <w:t xml:space="preserve">EXECUTIVE AND DIRECTOR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Executive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Denali’s Executive Officers and Director Compensation Prior to Completion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None of Denali’s officers or directors have received any compensation for services rendered to Denali. The Sponsor, officers, directors and their respective affiliates will be reimbursed for any out-of-pocket expenses incurred in connection with activities on Denali’s behalf such as identifying potential target businesses and performing due diligence on suitable business combinations.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Legacy Semnur and Current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the Company and align executive incentives with the long-term interests of our stockholders. This section provides an overview of the material components of our executive compensation programs, including a narrative description of the material factors necessary to understand the information disclosed in the summary compensation table below. The following is a discussion and analysis of the material components of the compensation arrangements of Legacy Semnur’s named executive officer for the fiscal year ended December 31, 2024 who became an executive of ours. As an “emerging growth company” as defined in the JOBS Act, we are not required to include a Compensation Discussion and Analysis section and have elected to comply with the scaled disclosure requirements applicable to emerging growth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0" w:after="0"/>
        <w:jc w:val="left"/>
        <w:rPr/>
      </w:pPr>
      <w:r>
        <w:rPr/>
        <w:t> </w:t>
      </w:r>
    </w:p>
    <w:tbl>
      <w:tblPr>
        <w:tblW w:w="9803" w:type="dxa"/>
        <w:jc w:val="left"/>
        <w:tblInd w:w="0" w:type="dxa"/>
        <w:tblLayout w:type="fixed"/>
        <w:tblCellMar>
          <w:top w:w="0" w:type="dxa"/>
          <w:left w:w="0" w:type="dxa"/>
          <w:bottom w:w="0" w:type="dxa"/>
          <w:right w:w="0" w:type="dxa"/>
        </w:tblCellMar>
      </w:tblPr>
      <w:tblGrid>
        <w:gridCol w:w="2105"/>
        <w:gridCol w:w="120"/>
        <w:gridCol w:w="60"/>
        <w:gridCol w:w="500"/>
        <w:gridCol w:w="60"/>
        <w:gridCol w:w="120"/>
        <w:gridCol w:w="70"/>
        <w:gridCol w:w="940"/>
        <w:gridCol w:w="60"/>
        <w:gridCol w:w="120"/>
        <w:gridCol w:w="174"/>
        <w:gridCol w:w="760"/>
        <w:gridCol w:w="60"/>
        <w:gridCol w:w="120"/>
        <w:gridCol w:w="217"/>
        <w:gridCol w:w="943"/>
        <w:gridCol w:w="60"/>
        <w:gridCol w:w="120"/>
        <w:gridCol w:w="147"/>
        <w:gridCol w:w="1673"/>
        <w:gridCol w:w="350"/>
        <w:gridCol w:w="60"/>
        <w:gridCol w:w="62"/>
        <w:gridCol w:w="827"/>
        <w:gridCol w:w="7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240,865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10,223</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251,088</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17,308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996</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18,304</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Treasurer and Secretary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128,308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8,884</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137,192</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matching contributions made under the Company’s 401(k) plan, (ii) health insurance premiums paid by Semnur and (iii) life insurance premiums paid by Semnur.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Semnur had only two named executive officers that provided services to Semnur: Jaisim Shah, Semnur’s Chief Executive Officer and Henry Ji, Ph.D., Semnur’s Treasurer and Secretary. Scilex’s Chief Financial Officer, Stephen Ma, also provided services to Semnur during such time but was not then an executive officer of Semnur. Semnur appointed Mr. Ma as Semnur’s Chief Financial Officer following the closing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each of Mr. Shah, Dr. Ji and Mr. Ma was an executive officer of Scilex. As Semnur is a majority owned subsidiary of Scilex and executives of Scilex are required to provide services to Scilex’s subsidiaries, neither Dr. Ji nor Mr. Shah nor Mr. Ma received any additional cash or equity compensation from Semnur for services rendered to Semnur for the year ended December 31, 2024 and Semnur had not entered into any employment agreements with Dr. Ji, Mr. Shah or Mr. Ma, prior to the closing of the Business Combination. Instead, the costs associated with the time spent by Dr. Ji, Mr. Shah and Mr. Ma,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employees of Scilex, working on matters for Semnur is allocated to Semnur. These costs are then included in Semnur’s operating expenses as either research and development expenses, if such individual is engaged in research and development functions related to the SP-102 program, or general and administrative expenses, if such individual is engaged in executive, marketing, finance, corporate and business development and administrative functions. </w:t>
      </w:r>
    </w:p>
    <w:p>
      <w:pPr>
        <w:pStyle w:val="TextBody"/>
        <w:bidi w:val="0"/>
        <w:spacing w:before="240" w:after="0"/>
        <w:jc w:val="left"/>
        <w:rPr>
          <w:rFonts w:ascii="Times New Roman" w:hAnsi="Times New Roman"/>
          <w:sz w:val="20"/>
        </w:rPr>
      </w:pPr>
      <w:r>
        <w:rPr>
          <w:rFonts w:ascii="Times New Roman" w:hAnsi="Times New Roman"/>
          <w:sz w:val="20"/>
        </w:rPr>
        <w:t xml:space="preserve">After the consummation of the Business Combination, Dr. Ji retained his position at Scilex as Scilex’s Chief Executive Officer, President, Chairperson and a board member, and Mr. Ma retained his position as Scilex’s Chief Financial Officer and Corporate Secretary. Dr. Ji and Mr. Ma intend continue to dedicate time to both Scilex and Semnur. During the year ended December 31, 2024, Mr. Shah previously dedicated approximately 80% of his time to Scilex and 20% to Semnur, Dr. Ji dedicated approximately 99% of his time to Scilex and 1% to Semnur and Mr. Ma dedicated approximately 80% of his time to Scilex and 20% to Semnur. Each officer’s hours fluctuated weekly based on the specific needs of Scilex and Semnur. After the consummation of the Business Combination, each of Dr. Ji and Mr. Ma intend to increase the aggregate number of hours he is working and split his time equally between Scilex and Semnur. </w:t>
      </w:r>
    </w:p>
    <w:p>
      <w:pPr>
        <w:pStyle w:val="TextBody"/>
        <w:bidi w:val="0"/>
        <w:spacing w:before="240" w:after="0"/>
        <w:jc w:val="left"/>
        <w:rPr>
          <w:rFonts w:ascii="Times New Roman" w:hAnsi="Times New Roman"/>
          <w:sz w:val="20"/>
        </w:rPr>
      </w:pPr>
      <w:r>
        <w:rPr>
          <w:rFonts w:ascii="Times New Roman" w:hAnsi="Times New Roman"/>
          <w:sz w:val="20"/>
        </w:rPr>
        <w:t>During the year ended December 31, 2024, there were no research development expenses as a result of Dr. Ji’s, Mr. Shah’s and Mr. Ma’s time allocated to Semnur and general and administrative expenses as a result of Dr. Ji’s, Mr. Shah’s and Mr. Ma’s time allocated to Semnur during the year ended December 31, 2024 were approximately $406,584. For more information regarding Semnur’s operating expenses, see “</w:t>
      </w:r>
      <w:r>
        <w:rPr>
          <w:rFonts w:ascii="Times New Roman" w:hAnsi="Times New Roman"/>
          <w:i/>
          <w:sz w:val="20"/>
        </w:rPr>
        <w:t>Management’s Discussion and Analysis of Financial Condition and Results of Operations of Semnur — Components of Our Results of Operations</w:t>
      </w:r>
      <w:r>
        <w:rPr>
          <w:rFonts w:ascii="Times New Roman" w:hAnsi="Times New Roman"/>
          <w:sz w:val="20"/>
        </w:rPr>
        <w:t>” and “</w:t>
      </w:r>
      <w:r>
        <w:rPr>
          <w:rFonts w:ascii="Times New Roman" w:hAnsi="Times New Roman"/>
          <w:i/>
          <w:sz w:val="20"/>
        </w:rPr>
        <w:t>Management’s Discussion and Analysis of Financial Condition and Results of Operations —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2024, the Legacy Semnur Board approved the following stock option grants (the “Awards”), as adjusted for the option exchange, to Dr. Ji, Mr. Shah and Mr. Ma under the 2024 Stock Option Plan, with a grant date of August 30, 2024, which grants are subject to the terms and conditions of the 2024 Stock Option Plan and the applicable form of option agreement approved for use thereunder. The exercise price, after giving effect to the option exchange completed in connection with the Business Combination, of the following stock option grants is $1.27 per share, with 1/48th of the total amount of the shares vested and shall vest each month after the Grant Date, subject to the executive officer’s providing continuous service (as defined in the 2024 Stock Option Plan) on each such vesting date, inclusive.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1235"/>
        <w:gridCol w:w="120"/>
        <w:gridCol w:w="74"/>
        <w:gridCol w:w="1371"/>
        <w:gridCol w:w="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Options</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21,875,000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21,875,000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2,500,000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Awards became eligible for exercise upon the approval by the shareholders of Denali of the Option Exchange (and notwithstanding the foregoing, the Awards are not exercisable until all payments and all obligations under the Oramed Note have been paid in full). These Awards are not considered to be granted under accounting rules as repayment of the Oramed Note has not occurred. As such, total amount of stock-based compensation expense attributable to these Awards would be determined based on their accounting grant-date fair value and to be recognized, on a tranche-by-tranche basis, over forty-eight equal monthly tranches. No expense was recorded in connection with the Awards granted under the 2024 Stock Option Plan as of December 31, 2024, as the vesting is contingent upon the repayment of the Oramed Note and the closing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2024, Semnur did not have any arrangement with any of its executive officers providing for potential payments, compensation or other benefits upon termination or the occurrence of a change of control other than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there is a sale or other disposition of at least 50% of the outstanding securities of Semnur or other corporate transaction (as defined in the 2024 Stock Option Plan), and the Awards are not assumed, continued or substituted by the surviving or acquiring corporation, then the Awards will be accelerated in full to a date prior to the effective time of the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Semnur with respect to such awards will lapse (contingent upon the effectiveness of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Board may elect to adopt severance and change in control agreements in the future if it determines that doing so is in the best interests of Semnur.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employment agreements with each of Mr. Shah, Dr. Ji and Mr. Ma, effective as of the Closing (collectively, the “Employment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entered into with Mr. Shah, Mr. Shah will continue to serve as the Chief Executive Officer and President of the Company. Mr. Shah’s annualized salary will be $1,250,000 and he will be eligible to receive an annual incentive bonus of up to 150% of his base salary. The compensation committee (“Compensation Committee”) of the Board shall annually review and adjust his base salary.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entered into with Dr. Ji, Dr. Ji will continue to serve as the Executive Chairperson of the Company. Dr. Ji’s annualized salary will be $1,100,000 and he will be eligible to receive an annual incentive bonus of up to 150% of his base salary. The Compensation Committee shall annually review and adjust his base salary.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entered into with Mr. Ma, Mr. Ma will serve as the Chief Financial Officer, Senior Vice President and Secretary of the Company. Mr. Ma’s annualized salary will be $345,000 and he will be eligible to receive an annual incentive bonus of up to 60% of his base salary. The Compensation Committee shall annually review and adjust his base salary. </w:t>
      </w:r>
    </w:p>
    <w:p>
      <w:pPr>
        <w:pStyle w:val="TextBody"/>
        <w:bidi w:val="0"/>
        <w:spacing w:before="240" w:after="0"/>
        <w:jc w:val="left"/>
        <w:rPr>
          <w:rFonts w:ascii="Times New Roman" w:hAnsi="Times New Roman"/>
          <w:sz w:val="20"/>
        </w:rPr>
      </w:pPr>
      <w:r>
        <w:rPr>
          <w:rFonts w:ascii="Times New Roman" w:hAnsi="Times New Roman"/>
          <w:sz w:val="20"/>
        </w:rPr>
        <w:t xml:space="preserve">Each Employment Agreement has a term of three years and will renew automatically for additional one year terms, unless either party provides the other with written notice of non-renewal at least 60 days prior to the date of automatic renewal. Each executive officer’s employment will be on an “at will” basis. Each executive officer is also entitled to other customary employment benefits, including reimbursement of expenses, paid vacation, and shall be eligible to participate in all benefit plans that are generally made available to the Company’s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Dr. Ji’s and Mr. Shah’s Employment Agreements each provide that if the applicable executive officer with the Company is terminated by the Company without “Cause” or by such executive officer for “Good Reason” and such termination occurs more than six months after the Effective Date and prior to a Change in Control (as each term is defined in each Employment Agreement), then such executive officer shall be entitled to receive an amount equal to 12 months of his base salary, payable in accordance with the Company’s payroll cycle and the Company shall pay COBRA premiums for such executive officer and his covered dependents for a period of up to 12 months, subject in each case to such executive officer executing a release in favor of the Company. Additionally, the applicable executive officer’s outstanding and vested stock options as of the date of such executive officer’s termination will remain exercisable for 24 months post-termination. Each Employment Agreement also provides that if there is a Change in Control more than 6 months after the Effective Date and prior to the date on which such executive officer’s employment with the Company terminates (as each term is defined in each Employment Agreement), the applicable executive officer will receive a lump-sum payment equal to (i) three times the sum of such executive officer’s base salary and target annual bonus, plus (ii) $3,000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multiplied by 36, in respect of an estimate of benefit premiums for such executive officer. Additionally, outstanding and unvested equity awards with solely time-based vesting shall vest in full and any performance-based vesting requirement shall be deemed satisfied and will become vested in full upon a Change in Control and such applicable executive officer’s outstanding and vested stock options will remain exercisable for 24 months post-termination. </w:t>
      </w:r>
    </w:p>
    <w:p>
      <w:pPr>
        <w:pStyle w:val="TextBody"/>
        <w:bidi w:val="0"/>
        <w:spacing w:before="240" w:after="0"/>
        <w:jc w:val="left"/>
        <w:rPr>
          <w:rFonts w:ascii="Times New Roman" w:hAnsi="Times New Roman"/>
          <w:sz w:val="20"/>
        </w:rPr>
      </w:pPr>
      <w:r>
        <w:rPr>
          <w:rFonts w:ascii="Times New Roman" w:hAnsi="Times New Roman"/>
          <w:sz w:val="20"/>
        </w:rPr>
        <w:t xml:space="preserve">Mr. Ma’s Employment Agreement provides that if Mr. Ma is terminated by the Company without “Cause” or by such executive officer for “Good Reason” and such termination occurs more than six months after the Effective Date and prior to a Change in Control (as each term is defined in Mr. Ma’s Employment Agreement), then Mr. Ma shall be entitled to receive an amount equal to 12 months of his base salary, payable in accordance with the Company’s payroll cycle and the Company shall pay COBRA premiums for Mr. Ma and his covered dependents for a period of up to 12 months, subject in each case to such Mr. Ma executing a release in favor of the Company. Additionally, Mr. Ma’s outstanding and vested stock options as of the date of his termination will remain exercisable for 24 months post-termination. His Employment Agreement also provides that if there is a Change in Control more than 6 months after the Effective Date and prior to the date on which Mr. Ma’s employment with the Company terminates (as each term is defined in his Employment Agreement), Mr. Ma will receive a lump-sum payment equal to (i) two times the sum of his base salary and target annual bonus, plus (ii) $3,000 multiplied by 24, in respect of an estimate of benefit premiums for such executive officer. Additionally, outstanding and unvested equity awards with solely time-based vesting shall vest in full and any performance-based vesting requirement shall be deemed satisfied and will become vested in full upon a Change in Control and Mr. Ma’s outstanding and vested stock options will remain exercisable for 24 months post-termination.Perquisites, Health, Welfare and Retirement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Semnur does not provide perquisites or personal benefits to its executive officers. The Board may elect to adopt qualified or nonqualified benefit plans in the future if it determines that doing so is in the best interests of Semnur. </w:t>
      </w:r>
    </w:p>
    <w:p>
      <w:pPr>
        <w:pStyle w:val="TextBody"/>
        <w:bidi w:val="0"/>
        <w:spacing w:before="360" w:after="0"/>
        <w:jc w:val="left"/>
        <w:rPr>
          <w:rFonts w:ascii="Times New Roman" w:hAnsi="Times New Roman"/>
          <w:b/>
          <w:sz w:val="20"/>
        </w:rPr>
      </w:pPr>
      <w:r>
        <w:rPr>
          <w:rFonts w:ascii="Times New Roman" w:hAnsi="Times New Roman"/>
          <w:b/>
          <w:sz w:val="20"/>
        </w:rPr>
        <w:t xml:space="preserve">Pension Benefits and 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Semnur does not provide a pension plan or nonqualified deferred compensation plan for its executive officers. The Board may elect to adopt a pension plan or nonqualified deferred compensation plan for its executive officers in the future if it determines that doing so is in the best interests of Semnur.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Year-End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certain information concerning outstanding equity awards held by each of Scilex’s named executive officers as of December 31, 2024. </w:t>
      </w:r>
    </w:p>
    <w:p>
      <w:pPr>
        <w:pStyle w:val="TextBody"/>
        <w:bidi w:val="0"/>
        <w:spacing w:before="0" w:after="0"/>
        <w:jc w:val="left"/>
        <w:rPr/>
      </w:pPr>
      <w:r>
        <w:rPr/>
        <w:t> </w:t>
      </w:r>
    </w:p>
    <w:tbl>
      <w:tblPr>
        <w:tblW w:w="9874" w:type="dxa"/>
        <w:jc w:val="left"/>
        <w:tblInd w:w="0" w:type="dxa"/>
        <w:tblLayout w:type="fixed"/>
        <w:tblCellMar>
          <w:top w:w="0" w:type="dxa"/>
          <w:left w:w="0" w:type="dxa"/>
          <w:bottom w:w="0" w:type="dxa"/>
          <w:right w:w="0" w:type="dxa"/>
        </w:tblCellMar>
      </w:tblPr>
      <w:tblGrid>
        <w:gridCol w:w="1235"/>
        <w:gridCol w:w="120"/>
        <w:gridCol w:w="67"/>
        <w:gridCol w:w="1107"/>
        <w:gridCol w:w="60"/>
        <w:gridCol w:w="120"/>
        <w:gridCol w:w="178"/>
        <w:gridCol w:w="1492"/>
        <w:gridCol w:w="60"/>
        <w:gridCol w:w="120"/>
        <w:gridCol w:w="237"/>
        <w:gridCol w:w="1028"/>
        <w:gridCol w:w="60"/>
        <w:gridCol w:w="120"/>
        <w:gridCol w:w="74"/>
        <w:gridCol w:w="1371"/>
        <w:gridCol w:w="60"/>
        <w:gridCol w:w="120"/>
        <w:gridCol w:w="105"/>
        <w:gridCol w:w="770"/>
        <w:gridCol w:w="60"/>
        <w:gridCol w:w="120"/>
        <w:gridCol w:w="119"/>
        <w:gridCol w:w="996"/>
        <w:gridCol w:w="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44"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Option Awards(1)(2)</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8/30/2024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21,875,000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8/30/2034</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8/30/2024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8/30/2024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71" w:type="dxa"/>
            <w:tcBorders/>
            <w:vAlign w:val="center"/>
          </w:tcPr>
          <w:p>
            <w:pPr>
              <w:pStyle w:val="TableContents"/>
              <w:bidi w:val="0"/>
              <w:spacing w:before="0" w:after="283"/>
              <w:jc w:val="right"/>
              <w:rPr/>
            </w:pPr>
            <w:r>
              <w:rPr/>
              <w:t>21,875,000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1.27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8/30/2034</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8/30/2024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8/30/2024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71" w:type="dxa"/>
            <w:tcBorders/>
            <w:shd w:fill="CCEEFF" w:val="clear"/>
            <w:vAlign w:val="center"/>
          </w:tcPr>
          <w:p>
            <w:pPr>
              <w:pStyle w:val="TableContents"/>
              <w:bidi w:val="0"/>
              <w:spacing w:before="0" w:after="283"/>
              <w:jc w:val="right"/>
              <w:rPr/>
            </w:pPr>
            <w:r>
              <w:rPr/>
              <w:t>2,500,000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8/30/2034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Each option was granted under the 2024 Stock Option Plan. The number of shares underlying each option and the exercise price set forth in this table reflect the application of the Exchange Ratio in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1/48th of the total amount of the shares vested and shall vest each month after the Option Grant Date, subject to the executive officer’s providing continuous service (as defined in the 2024 Stock Option Plan) on each such vesting date, inclusive. </w:t>
      </w:r>
    </w:p>
    <w:p>
      <w:pPr>
        <w:pStyle w:val="TextBody"/>
        <w:bidi w:val="0"/>
        <w:spacing w:before="360" w:after="0"/>
        <w:jc w:val="left"/>
        <w:rPr>
          <w:rFonts w:ascii="Times New Roman" w:hAnsi="Times New Roman"/>
          <w:b/>
          <w:sz w:val="20"/>
        </w:rPr>
      </w:pPr>
      <w:r>
        <w:rPr>
          <w:rFonts w:ascii="Times New Roman" w:hAnsi="Times New Roman"/>
          <w:b/>
          <w:sz w:val="20"/>
        </w:rPr>
        <w:t xml:space="preserve">Equity-Based Incentive Plan </w:t>
      </w:r>
    </w:p>
    <w:p>
      <w:pPr>
        <w:pStyle w:val="TextBody"/>
        <w:bidi w:val="0"/>
        <w:spacing w:before="120" w:after="0"/>
        <w:jc w:val="left"/>
        <w:rPr>
          <w:rFonts w:ascii="Times New Roman" w:hAnsi="Times New Roman"/>
          <w:b/>
          <w:i/>
          <w:sz w:val="20"/>
        </w:rPr>
      </w:pPr>
      <w:r>
        <w:rPr>
          <w:rFonts w:ascii="Times New Roman" w:hAnsi="Times New Roman"/>
          <w:b/>
          <w:i/>
          <w:sz w:val="20"/>
        </w:rPr>
        <w:t xml:space="preserve">Semnur Pharmaceuticals, Inc. 2024 Stock Option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adopted the 2024 Stock Option Plan on August 30, 2024. The 2024 Stock Option Plan was approved by Semnur’s then sole stockholder on August 30, 2024. Upon adoption, 40,000,000 shares of Legacy Common Stock were authorized for issuance under the 2024 Stock Option Plan. As of the date of this prospectus, options to purchase 50,000,000 shares of Common Stock were outstanding under the 2024 Stock Option Plan, after giving effect to the option exchange that was effected in connection with the Business Combination, and no shares were reserved for future issuance under the 2024 Stock Option Plan. </w:t>
      </w:r>
    </w:p>
    <w:p>
      <w:pPr>
        <w:pStyle w:val="TextBody"/>
        <w:bidi w:val="0"/>
        <w:spacing w:before="240" w:after="0"/>
        <w:jc w:val="left"/>
        <w:rPr>
          <w:rFonts w:ascii="Times New Roman" w:hAnsi="Times New Roman"/>
          <w:sz w:val="20"/>
        </w:rPr>
      </w:pPr>
      <w:r>
        <w:rPr>
          <w:rFonts w:ascii="Times New Roman" w:hAnsi="Times New Roman"/>
          <w:sz w:val="20"/>
        </w:rPr>
        <w:t xml:space="preserve">The 2024 Stock Option Plan was terminated in connection with the consummation of the Business Combination, and no further awards were granted under the 2024 Stock Option Plan thereafter. However, the 2024 Stock Option Plan will continue to govern outstanding awards granted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only a summary of the material terms of the 2024 Stock Option Plan, is not a complete description of all provisions of the 2024 Stock Option Plan and should be read in conjunction with the 2024 Stock Option Plan, which is filed as an exhibit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Under the 2024 Stock Option Plan, an aggregate of 40,000,000 shares of Legacy Common Stock were reserved for future issuance, which number is subject to any adjustments as necessary to implement any Capitalization Adjustments (as defined in the 2024 Stock Option Plan). Shares subject to awards granted under the 2024 Stock Option Plan that expire or terminate without being exercised in full will not reduce the number of shares available for issuance under the 2024 Stock Option Plan. The settlement of any portion of an award in cash will not reduce the number of shares available for issuance under the 2024 Stock Option Plan. Shares withheld under an award to satisfy the exercise, strike or purchase price of an award or to satisfy a tax withholding obligation will not reduce the number of shares available for issuance under the 2024 Stock Option Plan. If any shares of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2024 Stock Option Plan. However, notwithstanding the prior sentence, no new awards may be granted under the 2024 Stock Option Plan as of the date of the closing of the Business Combination, given the termination of the 2024 Stock Option Plan. </w:t>
      </w:r>
    </w:p>
    <w:p>
      <w:pPr>
        <w:pStyle w:val="TextBody"/>
        <w:bidi w:val="0"/>
        <w:spacing w:before="240" w:after="0"/>
        <w:jc w:val="left"/>
        <w:rPr>
          <w:rFonts w:ascii="Times New Roman" w:hAnsi="Times New Roman"/>
          <w:sz w:val="20"/>
        </w:rPr>
      </w:pPr>
      <w:r>
        <w:rPr>
          <w:rFonts w:ascii="Times New Roman" w:hAnsi="Times New Roman"/>
          <w:i/>
          <w:sz w:val="20"/>
        </w:rPr>
        <w:t>Type of Awards and Eligibility</w:t>
      </w:r>
      <w:r>
        <w:rPr>
          <w:rFonts w:ascii="Times New Roman" w:hAnsi="Times New Roman"/>
          <w:sz w:val="20"/>
        </w:rPr>
        <w:t xml:space="preserve">. The 2024 Stock Option Plan provides for the grant of nonstatutory stock options to employees, consultants and directors of Semnur and its affiliates.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Options are granted under stock option agreements adopted by the Board. The Board determines the exercise price for stock options, within the terms and conditions of the 2024 Stock Option Plan, except the exercise price of a stock option generally will not be less than 100% of the fair market value of Common Stock on the date of grant. Options granted under the 2024 Stock Option Plan will vest at the rate specified in the stock option agreement as will be determined by the Board. The terms and conditions of separate options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No option will be exercisable after the expiration of ten years or a shorter period specified in the applicable award agreement. Unless the terms of an optionholder’s stock option agreement, or other written agreement between Semnur and the recipient, provide otherwise, if an optionholder’s service relationship with Semnur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its affiliates ceases for any reason other than disability, death or cause, the optionholder may generally exercise any vested options for a period of three months following the cessation of service. If an optionholder’s service relationship with Semnur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Semnur or any of its affiliates ceases due to disability, the optionholder may generally exercise any vested options for a period of 12 months following the cessation of service. In the event of a termination for cause, options generally terminate upon the termination date and the right to exercise an option may be suspended if the optionholder is suspended pending investigation of whether his or her service will be terminated for cause. An optionholder may not exercise an option at any time that the issuance of shares upon such exercise would violate applicable law. Unless provided otherwise in the optionholder’s stock option agreement or other written agreement between an optionholder and Semnur, if an optionholder’s service relationship with Semnur or any of its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Semnur’s trading policy, or (iii) the Board has suspended exercisability because the optionholder is suspended pending investigation of whether his or her service will be terminated for cause,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the Board and may include (i) cash or check, bank draft or money order payable to Semnur; (ii) a broker-assisted cashless exercise; (iii) subject to certain conditions, the tender of shares of Common Stock previously owned by the optionholder; (iv) a net exercise of the option; or (v) other legal consideration acceptable to the Board.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Unless the Board provides otherwise, options generally will not be transferable except by will or the laws of descent and distribution. Subject to approval of the Board or a duly authorized officer, an option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Board, or a duly authorized committee thereof, will administer the 2024 Stock Option Plan. The Board, or a duly authorized committee thereof, will, in accordance with the terms of the 2024 Stock Option Plan have the authority to determine: award recipients; how and when each award will be granted; the provisions of each award, including the period of exercisability and the vesting schedule applicable to an award; the number of shares of common stock subject to each award; and the fair market value applicable to an award. If Denali’s shareholders approve the Option Exchange Proposal at the Meeting, following the consummation of the Business Combination, the Board, or a duly authorized committee thereof, will administer the 2024 Stock Option Plan with respect to such options and we will also designate a plan administrator to administer the day-to-day operations of the 2024 Stock Option Plan.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2024 Stock Option Plan provides that in the event of a corporate transaction (as defined in the 2024 Stock Option Plan), unless otherwise provided in a participant’s award agreement or other written agreement with Semnur or one of Semnur’s affiliates or unless otherwise expressly provided by the Board at the time of grant, any awards outstanding under the 2024 Stock Option Plan may be assumed, continued or substituted for, in whole or in part, by any surviving or acquiring corporation (or its parent company), and any reacquisition or repurchase rights held by Semnur with respect to Semnur’s common stock issued pursuant to awards may be assigned to the successor (or its parent company). If the surviving or acquiring corporation (or its parent company) does not assume, continue or substitute for such awards, then (i) with respect to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that are held by participants whose continuous service has not terminated prior to the effective time of the corporate transaction, or current participants, the vesting (and exercisability, if applicable) of such awards will be accelerated in full to a date prior to the effective time of the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Semnur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Semnur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i/>
          <w:sz w:val="20"/>
        </w:rPr>
        <w:t>Clawback/Recovery</w:t>
      </w:r>
      <w:r>
        <w:rPr>
          <w:rFonts w:ascii="Times New Roman" w:hAnsi="Times New Roman"/>
          <w:sz w:val="20"/>
        </w:rPr>
        <w:t xml:space="preserve">. All awards granted under the 2024 Stock Option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w:t>
      </w:r>
    </w:p>
    <w:p>
      <w:pPr>
        <w:pStyle w:val="TextBody"/>
        <w:bidi w:val="0"/>
        <w:spacing w:before="240" w:after="0"/>
        <w:jc w:val="left"/>
        <w:rPr>
          <w:rFonts w:ascii="Times New Roman" w:hAnsi="Times New Roman"/>
          <w:sz w:val="20"/>
        </w:rPr>
      </w:pPr>
      <w:r>
        <w:rPr>
          <w:rFonts w:ascii="Times New Roman" w:hAnsi="Times New Roman"/>
          <w:i/>
          <w:sz w:val="20"/>
        </w:rPr>
        <w:t>Amendment or Termination</w:t>
      </w:r>
      <w:r>
        <w:rPr>
          <w:rFonts w:ascii="Times New Roman" w:hAnsi="Times New Roman"/>
          <w:sz w:val="20"/>
        </w:rPr>
        <w:t xml:space="preserve">. The Board may accelerate the time at which an award granted under the 2024 Stock Option Plan may first be exercised or the time during which an award grant under the 2024 Stock Option Plan or any part thereof will vest, notwithstanding the provisions in the award agreement stating the time at which it may first be exercised or the time during which it will vest. The Board will have the authority to amend, suspend, or terminate the 2024 Stock Option Plan at any time, provided that such action does not materially impair the existing rights of any participant without such participant’s written consent. Certain material amendments will also require the approval of Semnur’s stockholders. No options may be granted after the tenth anniversary of the effective date. No awards may be granted under the 2024 Stock Option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Semnur is an “emerging growth company,” as defined in the JOBS Act. As an emerging growth company, it is exempted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Semnur has developed an executive compensation program that is designed to align compensation with New Semnur’s business objectives and the creation of stockholder value, while enabling Semnur to attract, retain, incentivize and reward individuals who contribute to the long-term success of Semnur. Decisions on the executive compensation program will be made by the Board and specifically through the Compensation Committee. The compensation policies followed by Semnur are designed to provide for compensation that is sufficient to attract, motivate and retain executives of Semnur and to establish an appropriate relationship between executive compensation and the creation of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guidance provided by its Compensation Committee, the Board may utilize the services of third parties from time to time in connection with the recruiting, hiring and determination of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awarded to executive employees. The Board retained the services of a compensation consultant, Compensia, to formulate a report and make recommendations regarding our compensation programs and executive compensation levels. The compensation consultant provided our Compensation Committee with benchmark comparative data for our executive officers with respect to base salaries, target and actual total cash compensation levels, and long-term incentive values. The Board used the data provided by the compensation consultant to make an initial determination of the competitiveness of total direct compensation for each executive officer to align the cash and equity compensation of our executive officers with the 50th to 75th percentile as compared to our peer group. </w:t>
      </w:r>
    </w:p>
    <w:p>
      <w:pPr>
        <w:pStyle w:val="TextBody"/>
        <w:bidi w:val="0"/>
        <w:spacing w:before="240" w:after="0"/>
        <w:jc w:val="left"/>
        <w:rPr>
          <w:rFonts w:ascii="Times New Roman" w:hAnsi="Times New Roman"/>
          <w:sz w:val="20"/>
        </w:rPr>
      </w:pPr>
      <w:r>
        <w:rPr>
          <w:rFonts w:ascii="Times New Roman" w:hAnsi="Times New Roman"/>
          <w:sz w:val="20"/>
        </w:rPr>
        <w:t xml:space="preserve">Semnur has entered into new employment agreements with its executive officers and approved the following base salaries, target bonuses on terms and conditions determined by the Board, the payment of which shall not commence until such time as the Oramed Note has been repaid in full or Oramed has otherwise consented to such compensation arrangements: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235"/>
        <w:gridCol w:w="120"/>
        <w:gridCol w:w="140"/>
        <w:gridCol w:w="980"/>
        <w:gridCol w:w="60"/>
        <w:gridCol w:w="120"/>
        <w:gridCol w:w="192"/>
        <w:gridCol w:w="1223"/>
        <w:gridCol w:w="29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Bonus</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150</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150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345,000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Semnur’s directors during the year ended December 31, 2024 were Dr. Ji and Mr. Shah, Semnur’s Chief Executive Officer and President. Neither Dr. Ji nor Mr. Shah received any compensation for their service as directors of Semnur during such time. The Board expects to approve the following compensation for Semnur’s non-employee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70"/>
        <w:gridCol w:w="120"/>
        <w:gridCol w:w="140"/>
        <w:gridCol w:w="800"/>
        <w:gridCol w:w="75"/>
      </w:tblGrid>
      <w:tr>
        <w:trPr/>
        <w:tc>
          <w:tcPr>
            <w:tcW w:w="9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Annual Cash Compensation</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Members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82,500</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Chairs of the Audit Committee, Compensation Committee and Nominating and Corporate Governance Committee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37,500</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 of the Audit Committee, Compensation Committee and Nominating and Corporate Governance Committee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90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Compensation</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Initial Stock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250,000</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annual cash compensation amounts for non-employee directors are expected to be payable in equal quarterly installments in arrears, following the end of each quarter in which the service occurred, pro-rated for any partial months of service. The equity compensation to be paid to non-employee directors will vest monthly over a period of 48 months from the date of grant with respect to the initial stock option grants and over a period of 12 months from the date of grant with respect to the annual stock option grants, in each case, subject to continued service through each vesting date. Additionally, Semnur will reimburse each outside director for reasonable travel expenses related to such director’s attendance at meetings of the Board and any committees thereof. All compensation of our non-employee directors is subject to approval by the Board and the foregoing expected compensation is subject to change pending such approval. </w:t>
      </w:r>
    </w:p>
    <w:p>
      <w:pPr>
        <w:pStyle w:val="TextBody"/>
        <w:bidi w:val="0"/>
        <w:spacing w:before="240" w:after="0"/>
        <w:jc w:val="left"/>
        <w:rPr>
          <w:rFonts w:ascii="Times New Roman" w:hAnsi="Times New Roman"/>
          <w:sz w:val="20"/>
        </w:rPr>
      </w:pPr>
      <w:r>
        <w:rPr>
          <w:rFonts w:ascii="Times New Roman" w:hAnsi="Times New Roman"/>
          <w:sz w:val="20"/>
        </w:rPr>
        <w:t xml:space="preserve">Semnur’s employee directors will not receive additional compensation for their service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63562_13"/>
      <w:bookmarkEnd w:id="14"/>
      <w:r>
        <w:rPr>
          <w:rFonts w:ascii="Times New Roman" w:hAnsi="Times New Roman"/>
          <w:b/>
          <w:sz w:val="20"/>
        </w:rPr>
        <w:t xml:space="preserve">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the date of this prospectus concerning the persons who are expected to serve as directors and executive officers of Semnur following the consummation of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of the directors and executive officers of Semnur as of November 28, 2025. </w:t>
      </w:r>
    </w:p>
    <w:p>
      <w:pPr>
        <w:pStyle w:val="TextBody"/>
        <w:bidi w:val="0"/>
        <w:spacing w:before="0" w:after="0"/>
        <w:jc w:val="left"/>
        <w:rPr/>
      </w:pPr>
      <w:r>
        <w:rPr/>
        <w:t> </w:t>
      </w:r>
    </w:p>
    <w:tbl>
      <w:tblPr>
        <w:tblW w:w="9075" w:type="dxa"/>
        <w:jc w:val="left"/>
        <w:tblInd w:w="0" w:type="dxa"/>
        <w:tblLayout w:type="fixed"/>
        <w:tblCellMar>
          <w:top w:w="0" w:type="dxa"/>
          <w:left w:w="0" w:type="dxa"/>
          <w:bottom w:w="0" w:type="dxa"/>
          <w:right w:w="0" w:type="dxa"/>
        </w:tblCellMar>
      </w:tblPr>
      <w:tblGrid>
        <w:gridCol w:w="2780"/>
        <w:gridCol w:w="120"/>
        <w:gridCol w:w="305"/>
        <w:gridCol w:w="120"/>
        <w:gridCol w:w="5750"/>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57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278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Shah(4)</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65</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Chief Executive Officer, President and Director</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Henry Ji, Ph.D.(4)</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61</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Executive Chairperson and Director</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Chief Financial Officer, Senior Vice President and Secretary</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Non-employee Directors</w:t>
            </w:r>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Ph.D.(1)(2)(3)(4)</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61</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Director</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Followwill(1)(2)(3)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Director</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 Navani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55</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Director</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Ph.D.(1)(2)(3)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Director</w:t>
            </w:r>
          </w:p>
        </w:tc>
      </w:tr>
    </w:tbl>
    <w:p>
      <w:pPr>
        <w:pStyle w:val="TextBody"/>
        <w:bidi w:val="0"/>
        <w:spacing w:lineRule="atLeast" w:line="160" w:before="0" w:after="40"/>
        <w:jc w:val="left"/>
        <w:rPr>
          <w:bdr w:val="single" w:sz="2" w:space="1" w:color="000000"/>
        </w:rPr>
      </w:pPr>
      <w:r>
        <w:rPr>
          <w:bdr w:val="single" w:sz="2" w:space="1" w:color="000000"/>
        </w:rPr>
        <w:t> </w:t>
      </w:r>
    </w:p>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before="0" w:after="283"/>
              <w:jc w:val="left"/>
              <w:rPr/>
            </w:pPr>
            <w:r>
              <w:rPr/>
              <w:t>(1)</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283"/>
              <w:jc w:val="left"/>
              <w:rPr/>
            </w:pPr>
            <w:r>
              <w:rPr/>
              <w:t>(2)</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6460" w:type="dxa"/>
        <w:jc w:val="left"/>
        <w:tblInd w:w="0" w:type="dxa"/>
        <w:tblLayout w:type="fixed"/>
        <w:tblCellMar>
          <w:top w:w="0" w:type="dxa"/>
          <w:left w:w="0" w:type="dxa"/>
          <w:bottom w:w="0" w:type="dxa"/>
          <w:right w:w="0" w:type="dxa"/>
        </w:tblCellMar>
      </w:tblPr>
      <w:tblGrid>
        <w:gridCol w:w="305"/>
        <w:gridCol w:w="6155"/>
      </w:tblGrid>
      <w:tr>
        <w:trPr/>
        <w:tc>
          <w:tcPr>
            <w:tcW w:w="305" w:type="dxa"/>
            <w:tcBorders/>
            <w:vAlign w:val="center"/>
          </w:tcPr>
          <w:p>
            <w:pPr>
              <w:pStyle w:val="TableContents"/>
              <w:bidi w:val="0"/>
              <w:spacing w:before="0" w:after="283"/>
              <w:jc w:val="left"/>
              <w:rPr/>
            </w:pPr>
            <w:r>
              <w:rPr/>
              <w:t>(3)</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Semnur Nominating and Corporate Governance Committee. </w:t>
            </w:r>
          </w:p>
        </w:tc>
      </w:tr>
    </w:tbl>
    <w:tbl>
      <w:tblPr>
        <w:tblW w:w="4240" w:type="dxa"/>
        <w:jc w:val="left"/>
        <w:tblInd w:w="0" w:type="dxa"/>
        <w:tblLayout w:type="fixed"/>
        <w:tblCellMar>
          <w:top w:w="0" w:type="dxa"/>
          <w:left w:w="0" w:type="dxa"/>
          <w:bottom w:w="0" w:type="dxa"/>
          <w:right w:w="0" w:type="dxa"/>
        </w:tblCellMar>
      </w:tblPr>
      <w:tblGrid>
        <w:gridCol w:w="305"/>
        <w:gridCol w:w="3935"/>
      </w:tblGrid>
      <w:tr>
        <w:trPr/>
        <w:tc>
          <w:tcPr>
            <w:tcW w:w="305" w:type="dxa"/>
            <w:tcBorders/>
            <w:vAlign w:val="center"/>
          </w:tcPr>
          <w:p>
            <w:pPr>
              <w:pStyle w:val="TableContents"/>
              <w:bidi w:val="0"/>
              <w:spacing w:before="0" w:after="283"/>
              <w:jc w:val="left"/>
              <w:rPr/>
            </w:pPr>
            <w:r>
              <w:rPr/>
              <w:t>(4)</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Commercialization and Transaction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 xml:space="preserve">Jaisim Shah. </w:t>
      </w:r>
      <w:r>
        <w:rPr>
          <w:rFonts w:ascii="Times New Roman" w:hAnsi="Times New Roman"/>
          <w:sz w:val="20"/>
        </w:rPr>
        <w:t xml:space="preserve">Mr. Shah serves as Semnur’s Chief Executive Officer and President and a member of the Board. He has served as Semnur’s President, Chief Executive Officer and a board member since its inception in 2013. Mr. Shah has more than 25 years of global biopharma experience, including over 15 years in senior management leading business development, commercial operations, investor relations, marketing and medical affairs. Mr. Shah also previously served as Scilex’s President and Chief Executive Officer from March 2019 to August 2024, and a board member of Scilex from March 2019 to September 2025, and as a member of the board of directors of Scilex Pharma since November 2016. Prior to his time at Semnur, Mr. Shah was a consultant to several businesses, including Sorrento, and was the Chief Business Officer of Elevation Pharmaceuticals, Inc., where Mr. Shah led a successful sale of Elevation Pharmaceuticals, Inc. to Sunovion Pharmaceuticals Inc. in September 2012. Prior to that, Mr. Shah was president of Zelos Therapeutics, Inc., where he focused on financing and business development. Prior to his time at Zelos Therapeutics, Inc., Mr. Shah was the Senior Vice President and Chief Business Officer at CytRx Corporation, a biopharmaceutical company. Previously, Mr. Shah was Chief Business Officer at Facet Biotech Corporation and PDL BioPharma, Inc., where he completed numerous licensing, partnering and strategic transactions with pharmaceutical and biotech companies. Prior to his time at PDL BioPharma, Inc., Mr. Shah was at Bristol-Myers Squibb Company, most recently as Vice President of Global Marketing where he received the “President’s Award” for completing one of the most significant collaborations in the company’s history. Previously, Mr. Shah was at F. Hoffman-La Roche AG in international marketing and was global business leader for corporate alliances with Genentech, Inc. and IDEC Corporation. Mr. Shah previously served as a director of Celularity Inc. (Nasdaq: CELU) from June 2017 to July 2021. He has served as a director of Sorrento from September 2013 until November 2023. Mr. Shah holds a M.A. in Economics from the University of Akron and a M.B.A. from Oklahoma University. The Board believes that Mr. Shah’s extensive operational, executive and business development experience qualifies him to serve on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Henry Ji, Ph.D.</w:t>
      </w:r>
      <w:r>
        <w:rPr>
          <w:rFonts w:ascii="Times New Roman" w:hAnsi="Times New Roman"/>
          <w:sz w:val="20"/>
        </w:rPr>
        <w:t xml:space="preserve"> Dr. Ji serves as Semnur’s Executive Chairperson and a member of the Board. He has served as Semnur’s Treasurer and Secretary and a board member since its inception in 2013. Dr. Ji has served as Scilex’s Executive Chairperson and a board member since September 2023, as Scilex’s President and Chief Executive Officer since August 2025, and previously served as Scilex’s Executive Chairperson and board member from March 2019 to August 2023. He currently serves as the Chief Executive Officer of Vivasor Holding Company and Vivasor, Inc. Dr. Ji has served on the board of directors of Scilex Pharma since November 2016 and he served as the Chief Executive Officer of Scilex Pharma from November 2016 to March 2019. He co-founded and served as a director of Sorrento since January 2006, served as its Chief Scientific Officer from November 2008 to September 2012, as its Interim Chief Executive Officer from April 2011 to September 2012, as its Secretary from September 2009 to June 2011, as its Chief Executive Officer and President since September 2012 and as Chairman of its board of directors since August 2017. In 2002, Dr. Ji founded BioVintage, Inc., a research and development company focusing on innovative life sciences technology and product development, and has served as its President since 2002. From 2001 to 2002, Dr. Ji served as Vice President of CombiMatrix Corporation, a publicly-traded biotechnology company that develops proprietary technologies, including products and services in the areas of drug development, genetic analysis, molecular diagnostics and nanotechnology. During his tenure at CombiMatrix Corporation, Dr. Ji was responsible for strategic technology alliances with biopharmaceutical companies. From 1999 to 2001, Dr. Ji served as Director of Business Development, and in 2001 as Vice President of Stratagene Corporation (later acquired by Agilent Technologies, Inc.) where he was responsible for novel technology and product licensing and development. In 1997, Dr. Ji co-founded Stratagene Genomics, Inc., a wholly owned subsidiary of Stratagene Corporation, and served as its President and Chief Executive Officer from its founding until 1999. Dr. Ji previously served as a director of Celularity Inc. (Nasdaq: CELU) from June 2017 to July 2021. Dr. Ji is the holder of several issued and pending patents in the life science research field. Dr. Ji has a Ph.D. in Animal Physiology from the University of Minnesota and a B.S. in Biochemistry from Fudan University. Dr. Ji has demonstrated significant leadership skills as President and Chief Executive Officer of Stratagene Genomics, Inc. and Vice President of CombiMatrix Corporation and Stratagene Corporation and brings more than 20 years of biotechnology and biopharmaceutical experience to his position on the Board. The Board believes that Dr. Ji’s extensive knowledge of the industry in which Semnur operates allows him to bring to the Board a broad understanding of the operational and strategic issues Semnur faces. </w:t>
      </w:r>
    </w:p>
    <w:p>
      <w:pPr>
        <w:pStyle w:val="TextBody"/>
        <w:bidi w:val="0"/>
        <w:spacing w:before="240" w:after="0"/>
        <w:jc w:val="left"/>
        <w:rPr>
          <w:rFonts w:ascii="Times New Roman" w:hAnsi="Times New Roman"/>
          <w:sz w:val="20"/>
        </w:rPr>
      </w:pPr>
      <w:r>
        <w:rPr>
          <w:rFonts w:ascii="Times New Roman" w:hAnsi="Times New Roman"/>
          <w:b/>
          <w:i/>
          <w:sz w:val="20"/>
        </w:rPr>
        <w:t>Stephen Ma.</w:t>
      </w:r>
      <w:r>
        <w:rPr>
          <w:rFonts w:ascii="Times New Roman" w:hAnsi="Times New Roman"/>
          <w:sz w:val="20"/>
        </w:rPr>
        <w:t xml:space="preserve"> Mr. Ma serves as Semnur’s Chief Financial Officer, Senior Vice President and Secretary. Mr. Ma has more than 15 years of finance and operational expertise across pharmaceuticals and venture backed biotechnology companies. Mr. Ma has served as Scilex’s Chief Financial Officer and Senior Vice President since September 2023, as Scilex’s Corporate Secretary since March 2024, as a director of Scilex since September 2025, and as Chief Operating Officer of Scilex since October 2025. He previously served as Scilex’s Chief Accounting Officer from May 2023 until his appointment as Scilex’s Chief Financial Officer and as Scilex’s Vice President of Finance from January 2022 to April 2023. Prior to joining Scilex, he served as Director of Finance and Operations for Anwita Biosciences, Inc., a clinical stage company, from August 2019 to January 2022. From May 2016 to August 2019, Mr. Ma served as the Senior Director of Finance and Controller of Semnur. Prior to that, he served as Controller for Globavir and part of the management team that worked on its IPO process. He also served as the Controller for Ardelyx, which went public in 2014. Prior to that, Mr. Ma served in various finance positions at PDL BioPharma, Inc. and Hyperion Therapeutics, Inc. Mr. Ma began his career with more than 10 years in high technology companies and has a wealth of experience in finance, strategic planning, commercial launching, debt financing, public offerings and M&amp;A transactions. Mr. Ma holds a B.S. in Finance and M.A. in Economics from San Jose State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names and business experience of Semnur’s independent directors and other information relevant to their service on the Board are provided below. </w:t>
      </w:r>
    </w:p>
    <w:p>
      <w:pPr>
        <w:pStyle w:val="TextBody"/>
        <w:bidi w:val="0"/>
        <w:spacing w:before="240" w:after="0"/>
        <w:jc w:val="left"/>
        <w:rPr>
          <w:rFonts w:ascii="Times New Roman" w:hAnsi="Times New Roman"/>
          <w:sz w:val="20"/>
        </w:rPr>
      </w:pPr>
      <w:r>
        <w:rPr>
          <w:rFonts w:ascii="Times New Roman" w:hAnsi="Times New Roman"/>
          <w:b/>
          <w:i/>
          <w:sz w:val="20"/>
        </w:rPr>
        <w:t>Jay Chun, M.D., Ph.D.</w:t>
      </w:r>
      <w:r>
        <w:rPr>
          <w:rFonts w:ascii="Times New Roman" w:hAnsi="Times New Roman"/>
          <w:sz w:val="20"/>
        </w:rPr>
        <w:t xml:space="preserve"> Dr. Chun has served as a member of the Board since the closing of the Business Combination. Dr. Chun has served as a member of Scilex’s board of directors since September 2023. Dr. Chun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served as the Chief of Neurosurgery at Overlook Medical Center at Atlantic Health System from June 2015 to June 2023, and as Director of the Atlantic Health Spine Center at Overlook Medical Center from September 2022 to May 2024. Dr. Chun has served as a member of Scilex’s Scientific Advisory Board since August 2021 and previously served as a member of Celularity Inc.’s (Nasdaq: CELU) Scientific Advisory Board from September 2020 to January 2023. Dr. Chun completed his M.D. and Ph.D. at Columbia University College of Physicians and Surgeons. His neurosurgical residency was completed at the University of California at San Francisco, followed by specialization in the discipline of complex and minimally invasive spine surgery at Emory University in Atlanta, Georgia. Dr. Chun is board certified and specializes in complex and minimally invasive spine surgery as well as artificial discs. While a member of the Columbia University faculty from June 1995 to June 1997, Dr. Chun worked in the field of biotechnology. He has received many honors including Medical Research Fellowships from the NIH, working with the late Nobel Laureate Marshall Nirenberg. He received his Ph.D. with Richard Axel, a recipient of the 2004 Nobel Prize. In honor of his stem cell research, he received the NIH Individual National Research Service Award. We believe that Dr. Chun’s extensive scientific background and business experience qualify him to serve on the Board. </w:t>
      </w:r>
    </w:p>
    <w:p>
      <w:pPr>
        <w:pStyle w:val="TextBody"/>
        <w:bidi w:val="0"/>
        <w:spacing w:before="240" w:after="0"/>
        <w:jc w:val="left"/>
        <w:rPr>
          <w:rFonts w:ascii="Times New Roman" w:hAnsi="Times New Roman"/>
          <w:sz w:val="20"/>
        </w:rPr>
      </w:pPr>
      <w:r>
        <w:rPr>
          <w:rFonts w:ascii="Times New Roman" w:hAnsi="Times New Roman"/>
          <w:b/>
          <w:i/>
          <w:sz w:val="20"/>
        </w:rPr>
        <w:t>Dorman Followwill</w:t>
      </w:r>
      <w:r>
        <w:rPr>
          <w:rFonts w:ascii="Times New Roman" w:hAnsi="Times New Roman"/>
          <w:sz w:val="20"/>
        </w:rPr>
        <w:t xml:space="preserve">. Mr. Followwill has served as a member of the Board since the closing of the Business Combination. Mr. Followwill has served as a member of Scilex’s board of directors since November 2022. Prior to that, he served as a director of Scilex, Inc. from April 2022 to November 2022, as a director of Sorrento from October 2017 to April 2024 and as its lead independent director from August 2020 to April 2024. From 2016 to September 2020, Mr. Followwill was Senior Partner of Transformational Health at Frost &amp; Sullivan, a business consulting firm involved in market research and analysis, growth strategy consulting and corporate training across multiple industries. Prior to that time, he served in various roles at Frost &amp; Sullivan, including Partner on the Executive Committee managing the P&amp;L of the business in Europe, Israel and Africa, and Partner overseeing the Healthcare and Life Sciences business in North America, since initially joining Frost &amp; Sullivan to help found the Consulting practice in January 1988. Mr. Followwill has more than 30 years of organizational leadership and management consulting experience, having worked on hundreds of consulting projects across all major regions and across multiple industry sectors, each project focused around the strategic imperative of growth. He holds a B.A. from Stanford University in The Management of Organizations. We believe that Mr. Followwill’s extensive knowledge and understanding of the healthcare and life sciences industries qualify him to serve on the Board. </w:t>
      </w:r>
    </w:p>
    <w:p>
      <w:pPr>
        <w:pStyle w:val="TextBody"/>
        <w:bidi w:val="0"/>
        <w:spacing w:before="240" w:after="0"/>
        <w:jc w:val="left"/>
        <w:rPr>
          <w:rFonts w:ascii="Times New Roman" w:hAnsi="Times New Roman"/>
          <w:sz w:val="20"/>
        </w:rPr>
      </w:pPr>
      <w:r>
        <w:rPr>
          <w:rFonts w:ascii="Times New Roman" w:hAnsi="Times New Roman"/>
          <w:b/>
          <w:i/>
          <w:sz w:val="20"/>
        </w:rPr>
        <w:t>Annu Navani, M.D.</w:t>
      </w:r>
      <w:r>
        <w:rPr>
          <w:rFonts w:ascii="Times New Roman" w:hAnsi="Times New Roman"/>
          <w:sz w:val="20"/>
        </w:rPr>
        <w:t xml:space="preserve"> Dr. Navani has served as a member of the Board since the closing of the Business Combination. Dr. Navani previously served as a director of Scilex from July 2024 until September 2025. Dr. Navani founded and has served as the Chief Executive Officer of Comprehensive Spine and Sports Center from 2013 until 2022 as a leader in interventional and multidisciplinary spine, musculoskeletal and orthopedic care. She has also been serving as the Chief Medical Officer at Boomerang Healthcare since May 2022. Over the last decade, she has scaled a solo practice to a large multispecialty group practice with more than twenty service lines that operate via multiple state-of-the-art centers in Northern and Southern California. Since 2003, Dr. Navani has served as a Clinical Professor in the Division of Pain Medicine at Stanford University School of Medicine. She has also served as an Advisor to Le Reve Regenerative Wellness, the center for cutting edge restorative and regenerative solutions for clinical applications and research, since 2013. Dr. Navani completed her Anesthesiology residency at the Medical College of Wisconsin, Milwaukee and Fellowship in Pain Medicine at the University of California, Davis. She is board certified in Anesthesiology and Pain Medicine by American Board of Anesthesiology, in Interventional Pain by American Board of Interventional Pain Physicians and in Regenerative Medicine by American Board of Regenerative Medicine. We believe that Dr. Navani’s scientific background and business experience in various roles in the life sciences industry qualify her to serve on our Board. </w:t>
      </w:r>
    </w:p>
    <w:p>
      <w:pPr>
        <w:pStyle w:val="TextBody"/>
        <w:bidi w:val="0"/>
        <w:spacing w:before="240" w:after="0"/>
        <w:jc w:val="left"/>
        <w:rPr>
          <w:rFonts w:ascii="Times New Roman" w:hAnsi="Times New Roman"/>
          <w:sz w:val="20"/>
        </w:rPr>
      </w:pPr>
      <w:r>
        <w:rPr>
          <w:rFonts w:ascii="Times New Roman" w:hAnsi="Times New Roman"/>
          <w:b/>
          <w:i/>
          <w:sz w:val="20"/>
        </w:rPr>
        <w:t xml:space="preserve">Yue Alexander Wu, Ph.D. </w:t>
      </w:r>
      <w:r>
        <w:rPr>
          <w:rFonts w:ascii="Times New Roman" w:hAnsi="Times New Roman"/>
          <w:sz w:val="20"/>
        </w:rPr>
        <w:t xml:space="preserve">Dr. Wu has served as a member of the Board since the closing of the Business Combination. Dr. Wu has served as a member of Scilex’s board of directors since September 2023. Dr. Wu is the co-founder and Chief Executive Officer of Cothera Bioscience, Inc., a translation medicine and precision therapeutics company developing cancer therapeutics for previously undruggable targets. He was previously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President, Chief Executive Officer and Chief Strategy Officer of Crown Bioscience International, a leading global drug discovery and development solutions company, which he co-founded in 2006, until 2017. From 2004 to 2006, Dr. Wu was Chief Business Officer of Starvax International Inc. in Beijing, China, a biotechnology company focusing on oncology and infectious diseases. From 2001 to 2004, Dr. Wu was a venture capitalist with Burrill &amp; Company where he was head of Asian Activities. Dr. Wu has served as a director of CASI Pharmaceuticals, Inc. (Nasdaq: CASI) since June 2013 and Sorrento from August 2016 to April 2024. Dr. Wu received his Ph.D. in Molecular Cell Biology and his M.B.A. from University of California at Berkeley. He earned an M.S. in Biochemistry from University of Illinois, Urbana-Champaign and his B.S. in Biochemistry from Fudan University in Shanghai, China. We believe that Dr. Wu’s scientific background and business experience in various roles in the life sciences industry qualify him to serve on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individuals who shall serve as the directors or executive officers of Semnur. </w:t>
      </w:r>
    </w:p>
    <w:p>
      <w:pPr>
        <w:pStyle w:val="TextBody"/>
        <w:bidi w:val="0"/>
        <w:spacing w:before="360" w:after="0"/>
        <w:jc w:val="left"/>
        <w:rPr>
          <w:rFonts w:ascii="Times New Roman" w:hAnsi="Times New Roman"/>
          <w:b/>
          <w:sz w:val="20"/>
        </w:rPr>
      </w:pPr>
      <w:r>
        <w:rPr>
          <w:rFonts w:ascii="Times New Roman" w:hAnsi="Times New Roman"/>
          <w:b/>
          <w:sz w:val="20"/>
        </w:rPr>
        <w:t xml:space="preserve">Sorrento Chapter 11 Filing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13, 2023, Sorrento, together with its wholly owned direct subsidiary, Scintilla Pharmaceuticals, Inc., commenced voluntary proceedings under Chapter 11 of the United States Bankruptcy Code in the United States Bankruptcy Court for the Southern District of Texas, jointly administered under the caption </w:t>
      </w:r>
      <w:r>
        <w:rPr>
          <w:rFonts w:ascii="Times New Roman" w:hAnsi="Times New Roman"/>
          <w:i/>
          <w:sz w:val="20"/>
        </w:rPr>
        <w:t>In re Sorrento Therapeutics, Inc., et al</w:t>
      </w:r>
      <w:r>
        <w:rPr>
          <w:rFonts w:ascii="Times New Roman" w:hAnsi="Times New Roman"/>
          <w:sz w:val="20"/>
        </w:rPr>
        <w:t xml:space="preserve">. (Case Number: 23-90085 (DRJ)). While Scilex was majority owned by Sorrento when the voluntary proceedings were commenced, Scilex is not a debtor in Sorrento’s voluntary Chapter 11 filing. As of September 21, 2023, Sorrento no longer held a majority of the voting power of Scilex’s outstanding capital stock entitled to vote. At the time of the Chapter 11 filing, Dr. Ji, who serves as Semnur’s Executive Chairperson and a member of the Board, was and continues to serve as Chairman of the board of directors, President and Chief Executive Officer of Sorrento; Mr. Shah, who will serve as Semnur’s Chief Executive Officer, was serving as a director as Sorrento and served as a director until November 2023; Dr. Wu, who will serve on the Board, was serving as a director of Sorrento and served as a director until April 2024; and Mr. Followwill, who will serve on the Board, was serving as a director of Sorrento and served as a director until April 2024. </w:t>
      </w:r>
    </w:p>
    <w:p>
      <w:pPr>
        <w:pStyle w:val="TextBody"/>
        <w:bidi w:val="0"/>
        <w:spacing w:before="240" w:after="0"/>
        <w:jc w:val="left"/>
        <w:rPr>
          <w:rFonts w:ascii="Times New Roman" w:hAnsi="Times New Roman"/>
          <w:sz w:val="20"/>
        </w:rPr>
      </w:pPr>
      <w:r>
        <w:rPr>
          <w:rFonts w:ascii="Times New Roman" w:hAnsi="Times New Roman"/>
          <w:sz w:val="20"/>
        </w:rPr>
        <w:t xml:space="preserve">Semnur does not expect that such proceedings will have a material effect.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Semnur’s business and affairs are managed under the direction of the Board, which consists of five members. Dr. Ji serves as Executive Chairperson of the Board. The primary responsibilities of the Board are to provide oversight, strategic guidance, counseling and direction to Semnur’s management. The Board meets on a regular basis and on an </w:t>
      </w:r>
      <w:r>
        <w:rPr>
          <w:rFonts w:ascii="Times New Roman" w:hAnsi="Times New Roman"/>
          <w:i/>
          <w:sz w:val="20"/>
        </w:rPr>
        <w:t>ad hoc</w:t>
      </w:r>
      <w:r>
        <w:rPr>
          <w:rFonts w:ascii="Times New Roman" w:hAnsi="Times New Roman"/>
          <w:sz w:val="20"/>
        </w:rPr>
        <w:t xml:space="preserve"> basis as required. In accordance with the terms of the Charter and Bylaws, the Board is divided into three classes with staggered three-year terms,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Jay Chun, M.D., Ph.D. and Dr. Annu Navani and such director’s term will expire at the annual meeting of stockholders to be held in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be Dorman Followwill and Yue Alexander Wu, Ph.D. and their term will expire at the annual meeting of stockholders to be held in 2027;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be Henry Ji, Ph.D. and Jaisim Shah and their term will expire at the annual meeting of stockholders to be held in 2028.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to be held after the initial classification, the successors to directors whose terms will expire will be elected to serve from the time of election and qualification until the third annual meeting following their election. The authorized number of directors that shall constitute the Board is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exclusively by the Board; </w:t>
      </w:r>
      <w:r>
        <w:rPr>
          <w:rFonts w:ascii="Times New Roman" w:hAnsi="Times New Roman"/>
          <w:i/>
          <w:sz w:val="20"/>
        </w:rPr>
        <w:t>provided</w:t>
      </w:r>
      <w:r>
        <w:rPr>
          <w:rFonts w:ascii="Times New Roman" w:hAnsi="Times New Roman"/>
          <w:sz w:val="20"/>
        </w:rPr>
        <w:t xml:space="preserve"> that, at any time the Scilex Group beneficially owns, in the aggregate, at least 50% in voting power of the then-outstanding shares of Semnur’s capital stock entitled to vote generally in the election of directors, the stockholders may also fix the number of directors by resolutions adopted by the stockholders. Any increase or decrease in the number of directors is apportioned among the three classes so that, as nearly equal as practicable, each class consists of one-third of the directors. No decrease in the number of directors constituting the Board shortens the term of any incumbent director. Semnur’s directors may be removed with or without cause by the affirmative vote of the holders of a majority of voting power of the then-outstanding shares of Semnur’s capital stock entitled to vote generally in the election of such directors; </w:t>
      </w:r>
      <w:r>
        <w:rPr>
          <w:rFonts w:ascii="Times New Roman" w:hAnsi="Times New Roman"/>
          <w:i/>
          <w:sz w:val="20"/>
        </w:rPr>
        <w:t>provided, however</w:t>
      </w:r>
      <w:r>
        <w:rPr>
          <w:rFonts w:ascii="Times New Roman" w:hAnsi="Times New Roman"/>
          <w:sz w:val="20"/>
        </w:rPr>
        <w:t xml:space="preserve">, that, from and after the Scilex Trigger Event any such director or all such directors may be removed only for cause and only by the affirmative vote of the holders of at least 66 2/3% in voting power of all the then-outstanding shares of Semnur’s capital stock entitled to vote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and the Charter and subject to the rights of the holders of any series of preferred stock of Semnur, any vacancy on the Board may be filled by the Board or the stockholders of Semnur; </w:t>
      </w:r>
      <w:r>
        <w:rPr>
          <w:rFonts w:ascii="Times New Roman" w:hAnsi="Times New Roman"/>
          <w:i/>
          <w:sz w:val="20"/>
        </w:rPr>
        <w:t>provided, however</w:t>
      </w:r>
      <w:r>
        <w:rPr>
          <w:rFonts w:ascii="Times New Roman" w:hAnsi="Times New Roman"/>
          <w:sz w:val="20"/>
        </w:rPr>
        <w:t xml:space="preserve">, that from and after the Scilex Trigger Event, any such vacancy shall be filled only by the Board and not by the stockholders of Semnur. Any director elected in accordance with the preceding sentence shall hold office until the annual meeting of stockholders for the election of directors of the class to which he or she has been appointed and until his or her successor has been duly elected and qualified, subject, however, to such director’s earlier death, resignation, retirement, removal or disqualification.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Exemption </w:t>
      </w:r>
    </w:p>
    <w:p>
      <w:pPr>
        <w:pStyle w:val="TextBody"/>
        <w:bidi w:val="0"/>
        <w:spacing w:before="120" w:after="0"/>
        <w:jc w:val="left"/>
        <w:rPr>
          <w:rFonts w:ascii="Times New Roman" w:hAnsi="Times New Roman"/>
          <w:sz w:val="20"/>
        </w:rPr>
      </w:pPr>
      <w:r>
        <w:rPr>
          <w:rFonts w:ascii="Times New Roman" w:hAnsi="Times New Roman"/>
          <w:sz w:val="20"/>
        </w:rPr>
        <w:t xml:space="preserve">Scilex currently controls a majority of the voting power for the election of directors. As a result, Semnur is a “controlled company” within the meaning of the Nasdaq Listing Rules. </w:t>
      </w:r>
    </w:p>
    <w:p>
      <w:pPr>
        <w:pStyle w:val="TextBody"/>
        <w:bidi w:val="0"/>
        <w:spacing w:before="240" w:after="0"/>
        <w:jc w:val="left"/>
        <w:rPr>
          <w:rFonts w:ascii="Times New Roman" w:hAnsi="Times New Roman"/>
          <w:sz w:val="20"/>
        </w:rPr>
      </w:pPr>
      <w:r>
        <w:rPr>
          <w:rFonts w:ascii="Times New Roman" w:hAnsi="Times New Roman"/>
          <w:sz w:val="20"/>
        </w:rPr>
        <w:t>Under the Nasdaq Listing Rules, a company of which more than 50% of the voting power is held by an individual, group or another company is a “controlled company” and may elect not to comply with certain corporate governance standards, including, but not limited to, the requirements (i) that a majority of its board of directors consist of independent directors, (ii) that its board of directors have a Compensation Committee that is composed entirely of independent directors with a written charter addressing the committee’s purpose and responsibilities and (iii) that director nominees must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While Semnur does not presently rely on these exemptions, Semnur may opt to utilize these exemptions in the future as long as it remains a controlled company. Accordingly, Semnur stockholders may not have the same protections afforded to stockholders of companies that are subject to all of the corporate governance requirements of Nasdaq. If Semnur ceases to be a “controlled company” and its shares of common stock continue to be listed on Nasdaq, Semnur will be required to comply with these standards and, depending on the Board’s independence determination with respect to its then-current directors, Semnur may be required to add additional directors to the Board in order to achieve such compliance within the applicable transition periods. See the section titled “</w:t>
      </w:r>
      <w:r>
        <w:rPr>
          <w:rFonts w:ascii="Times New Roman" w:hAnsi="Times New Roman"/>
          <w:i/>
          <w:sz w:val="20"/>
        </w:rPr>
        <w:t>Risk Factors — As of the date of this prospectus, we are 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Under the Nasdaq Listing Rules, a majority of the members of the Board must satisfy Nasdaq’s criteria for “independence.” As a “controlled company”, Semnur is largely exempted from such requirements. The Board currently has determined that each of the directors on the Board, other than Dr. Ji and Mr. Shah (as a result of their positions as Semnur’s Executive Chairperson and Semnur’s Chief Executive Officer, respectively), qualify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independent directors, as defined by Rule 5605(a)(2) of the Nasdaq Listing Rules and the Board consists of a majority of “independent directors” as defined under the rules of the SEC and Nasdaq relating to director independence requirements. In addition, Semnur is subject to the rules of the SEC relating to the membership, qualifications and operations of the Audit Committee, as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Semnur’s governance and management processes. The Board encourages management to promote a culture that incorporates risk management into its corporate strategy and day-to-day business operations. Management discusses strategic and operational (including cybersecurity) risks at regular management meetings, and conducts specific strategic planning and review sessions during the year that include a focused discussion and analysis of the risks facing Semnur. These risks are then reviewed with the Scilex Board at regular board meetings as part of management presentations covering both Scilex and Semnur that focus on particular business functions, operations or strategies, and presents the steps taken by management to mitigate or eliminate such risks. </w:t>
      </w:r>
    </w:p>
    <w:p>
      <w:pPr>
        <w:pStyle w:val="TextBody"/>
        <w:bidi w:val="0"/>
        <w:spacing w:before="240" w:after="0"/>
        <w:jc w:val="left"/>
        <w:rPr>
          <w:rFonts w:ascii="Times New Roman" w:hAnsi="Times New Roman"/>
          <w:sz w:val="20"/>
        </w:rPr>
      </w:pPr>
      <w:r>
        <w:rPr>
          <w:rFonts w:ascii="Times New Roman" w:hAnsi="Times New Roman"/>
          <w:sz w:val="20"/>
        </w:rPr>
        <w:t xml:space="preserve">The Board is responsible for overseeing the company’s overall risk management process. The responsibility for managing risk rests with executive management while the committees of the Board and the Board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the Board with the discretion to combine or separate the positions of Chief Executive Officer and Executive Chairperson of the Board. The Board is chaired by Dr. Ji. The Board believes that separation of the positions of Chief Executive Officer and Executive Chairperson of the Board creates an environment that encourages objective oversight of management’s performance and enhances the effectiveness of the Board as a whole. Semnur believes that this separation of responsibilities will provide a balanced approach to managing the Board and overseeing the company. However, the Board continues to periodically review its leadership structure and may make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In evaluating a director candidate’s qualifications, the Board assesses whether a candidate possesses the integrity, judgment, knowledge, experience, skills and expertise that are likely to enhance Semnur’s ability, as well as the ability of the committees of the Board, to manage and direct Semnur’s affairs and business. The Board may consider many factors, such as personal and professional integrity, ethics and values; experience in corporate management, such as serving as an officer or former officer of a publicly-held company; and experience as a board member or executive officer of another publicly-held company. In addition, the Board may consider diversity in identifying potential director nominees, including diversity of expertise and experience in substantive matters pertaining to Semnur’s business relative to other board members and diversity of background and perspective, including, but not limited to, with respect to age, gender, race, place of residence and specialized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an Audit Committee, Compensation Committee and nominating and corporate governance committee (the “Nominating and Corporate Governance Committee”). The Board has adopted a new charter for each of these committees, which all comply with the applicable requirements of current Nasdaq Listing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Copies of the charters for each committee are available on the investor relations portion of Semnur’s website. The composition and responsibilities of each of the committees of the Board are as set forth below. Members serve on these committees until their resignation or removal or until otherwise determined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Semnur’s Audit Committee consists of Jay Chun, M.D., Ph.D., Dorman Followwill and Yue Alexander Wu, Ph.D., with Dorman Followwill serving as the chairperson of the committee. Each of the members of the Audit Committee satisfy the independence requirements under the applicable Nasdaq Listing Rules and SEC rules. Each member of the Audit Committee can read and understand fundamental financial statements under the applicable rules and regulations of the SEC and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the Audit Committee are included in a written charter. The Audit Committee assists the Board in fulfilling the Board’s oversight responsibilities with respect to Semnur’s accounting and financial reporting processes, the systems of internal control over financial reporting and audits of financial statements and reports, the performance of Semnur’s internal audit function, the quality and integrity of Semnur’s financial statements and reports, the qualifications, independence and performance of Semnur’s independent registered public accounting firm, and Semnur’s compliance with legal and regulatory requirements. For this purpose, the Audit Committee performs several functions. The Audit Committee’s responsibilities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determining the compensation of, retaining, overseeing and evaluating Semnur’s independent registered public accounting firm and any other registered public accounting firm engaged for the purpose of performing other review or attest services for Semnur;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commencement of an audit engagement, reviewing and discussing with the independent registered public accounting firm a written disclosure by the prospective independent registered public accounting firm of all relationships between Semnur, or persons in financial oversight roles with Semnur, and such independent registered public accounting firm or their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engagements of the independent registered public accounting firm, prior to commencement of the engagement, and the scope of and plans for the audit;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independent registered public accounting firm on Semnur’s audit engagement;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registered public accounting firm any fraud that includes management or other employees who have a significant role in Semnur’s internal control over financial reporting and any significant changes in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overseeing procedures for the receipt, retention and treatment of complaints regarding accounting, internal accounting controls or auditing matters and the confidential and anonymous submission by employees of concerns regarding questionable accounting, auditing or internal control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results of management’s efforts to monitor compliance with Semnur’s programs and policies designed to ensure compliance with laws and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Semnur’s programs, policies and procedures related to Semnur’s information technology systems, information security risk management and information technology risk exposures, and the steps taken to monitor, mitigate and control such exposures and the Company’s plans to mitigate cybersecurity risks and to respond to data breaches;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registered public accounting firm the results of the annual audit and the independent registered public accounting firm’s assessment of the quality and acceptability of Semnur’s accounting principles and practices and all other matters required to be communicated to the Audit Committee by the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generally accepted accounting standards, the results of the independent registered public accounting firm’s review of Semnur’s quarterly financial information prior to public disclosure and Semnur’s disclosures in its periodic reports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Dorman Followwill qualifies as an Audit Committee financial expert within the meaning of SEC regulations and each of Jay Chun, M.D., Ph.D., Dorman Followwill and Yue Alexander Wu, Ph.D. meet the financial sophistication requirements under the Nasdaq Listing Rules. Semnur’s independent registered public accounting firm and Semnur management periodically meet separately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the Board for its consideration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Audit Committee complies with all applicable requirements of the Sarbanes-Oxley Act and all applicable SEC rules and Nasdaq Listing Rules. Semnur intends to comply with future requirements to the extent they become applicable to Semnur.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Semnur’s Compensation Committee consists of Jay Chun, M.D., Ph.D., Dorman Followwill and Yue Alexander Wu, Ph.D., with Yue Alexander Wu, Ph.D. serving as the chairperson of the committee. Jay Chun, M.D., Ph.D., Dorman Followwill and Yue Alexander Wu, Ph.D. each satisfy the independence requirements under the Nasdaq Listing Rules. Each of the members of the Compensation Committee are non-employee director as defined in Rule 16b-3 promulgated under the Exchange Act and satisfy Nasdaq independence requirements. The Compensation Committee acts on behalf of the Board to fulfill the Board’s responsibilities in overseeing the company’s compensation policies, plans and programs; and in reviewing and determining the compensation to be paid to the executive officers and non-employee directors of Semnur. The responsibilities of the Compensation Committee are included in its written charter. The Compensation Committee’s responsibilities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the Board regarding) Semnur’s overall compensation strategy and policies, to assure that they promote stockholder interests and support the Company’s strategic and tactical objectives, and that they provide for appropriate rewards and incentives for the Company’s management and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corporate performance goals and objectives relevant to the compensation of Semnur’s executive officers and other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(or, if it deems appropriate, recommending to the Board for determination and approval) the compensation and terms of employment of Semnur’s Chief Executive Officer, including seeking to achieve an appropriate level of risk and reward in determining the long-term incentive component of the compensation of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(or, if it deems appropriate, recommending to the Board for determination and approval) the compensation and terms of employment of Semnur’s executive officers and other members of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appropriate, making recommendations to the Board regarding) the terms of employment agreements and severance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change-of-control protections and other compensatory arrangements for Semnur’s executive officers and other members of senior management;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periodic reviews of the base compensation levels of all of Semnur’s employees generally;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compensation programs as well as the type and amount of compensation to be paid or awarded to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adoption, amendment and termination of Semnur’s stock option plans, stock appreciation rights plans, pension and profit sharing plans, incentive plans, stock bonus plans, stock purchase plans, bonus plans, deferred compensation plans, 401(k) plans, supplemental retirement plans and similar programs, if any, and the aggregate cash amounts and numbers of shares to be paid or reserved for issuance thereunder; and administering all such plans, establishing guidelines, interpreting plan documents, selecting participants, approving grants and awards and exercising such other power and authority as may be permitted or required under such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Semnur’s incentive compensation arrangements to determine whether such arrangements encourage excessive risk-taking, reviewing and discussing at least annually the relationship between Semnur’s risk management policies and practices and compensation and evaluating compensation policies and practices that could mitigate any such risk;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human capital management strategies, programs and policies, including, but not limited to, those regarding recruitment, retention, career development, diversity, equity and inclusion, pay equity, workplace culture and employee engagement.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once Semnur ceases to be an “emerging growth company,” as defined in the JOBS Act, the responsibilities of the Compensation Committee will also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appropriate executive officers of Semnur compensation-related proposals to be considered at Semnur’s annual meeting, including the Say on Pay Vote and the frequency of the Say on Pay Vote, and the results of any stockholder advisory votes and, based on such discussions, providing recommendations to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Semnur’s Compensation Discussion and Analysis, and recommending to the Board that the Compensation Discussion and Analysis be approved for inclusion in Semnur’s annual reports on Form 10-K, registration statements, Semnur’s annual meeting proxy statements and information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its charter, the Compensation Committee may form, and delegate authority to, subcommittees as appropriate. The Compensation Committee will review, discuss and assess its own performance and composition at least annually. The Compensation Committee will also periodically review and assess the adequacy of its charter, including its role and responsibilities as outlined in its charter, and recommend any proposed changes to the Board for its consideration and approval. The composition and functioning of the Compensation Committee will comply with all applicable requirements of the Sarbanes-Oxley Act and all applicable SEC rules and Nasdaq Listing Rules. Semnur intends to comply with future requirements to the extent they become applicable to Semnur.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Semnur’s Nominating and Corporate Governance Committee consists of Jay Chun, M.D., Ph.D., Dorman Followwill and Yue Alexander Wu, Ph.D., with Dorman Followwill serving as the chairperson of the committee. Jay Chun, M.D., Ph.D., Dorman Followwill and Yue Alexander Wu, Ph.D. each satisfy the independence requirements under the Nasdaq Listing Rules. The responsibilities of the Nominating and Corporate Governance Committee are included in its written charter. The Nominating and Corporate Governance Committee acts on behalf of the Board to fulfill the Board’s responsibilities in overseeing all aspects of the company’s Nominating and corporate governance functions. The responsibilities of the Nominating and Corporate Governance Committee include, among others: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the Board regarding corporate governance issues;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candidates to serve as directors (consistent with criteria approved by the Board);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minimum qualifications for service on the Board;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incumbent directors;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instituting and overseeing director orientation and director continuing education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focal point for communication among candidates to the Board, non-committee directors and Semnur’s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Board for selection candidates to serve as nominees for director for the annual meeting of stockholders and to fill any vacancies on the Board and any committees thereof;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other recommendations to the Board regarding matters relating to the directors;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succession plans for Semnur’s Chief Executive Officer and its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overseeing matters of corporate responsibility and sustainability, including potential long- and short-term trends and impacts to Semnur’s business of environmental, social and governance issues, and its public reporting on these topics;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any recommendations for nominees and proposals submitted by stockholders; and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recommending modifications to Semnur’s insider trading policy, if necessary or advisable, to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periodically reviews, discusses and assesses the performance of the Board and the committees of the Board. In fulfilling this responsibility, the Nominating and Corporate Governance Committee seeks input from senior management, the Board and others. In assessing the Board, the Nominating and Corporate Governance Committee evaluates the overall composition of the Board, the Board’s contribution as a whole and its effectiveness in serving Semnur’s best interests and the best interests of Semnur’s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the Board for its consideration and approval. The composition and functioning of the nominating and corporate governance committee comply with all applicable requirements of the Sarbanes-Oxley Act and all applicable SEC rules and Nasdaq Listing Rules. Semnur intends to comply with future requirements to the extent they become applicable to Semnur.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Commercialization and Transaction Committee </w:t>
      </w:r>
    </w:p>
    <w:p>
      <w:pPr>
        <w:pStyle w:val="TextBody"/>
        <w:bidi w:val="0"/>
        <w:spacing w:before="120" w:after="0"/>
        <w:jc w:val="left"/>
        <w:rPr>
          <w:rFonts w:ascii="Times New Roman" w:hAnsi="Times New Roman"/>
          <w:sz w:val="20"/>
        </w:rPr>
      </w:pPr>
      <w:r>
        <w:rPr>
          <w:rFonts w:ascii="Times New Roman" w:hAnsi="Times New Roman"/>
          <w:sz w:val="20"/>
        </w:rPr>
        <w:t xml:space="preserve">Semnur’s commercialization and transaction committee (the “C&amp;T Committee”) consists of Jay Chun, M.D., Ph.D., Jaisim Shah, and Henry Ji, Ph.D. The responsibilities of the C&amp;T Committee are included in its written charter. The C&amp;T Committee’s responsibilities include, among others, the following commercialization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strategic, directional and operational oversight and guidance to the Company regarding its commercial activities and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alignment of the Company’s commercial and R&amp;D programs and progress with the Company’s strategic goals and objectives, taking into account the results of the Company’s pre-clinical studies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reviews of the Company’s product development pipeline, intellectual property portfolio and commercial strategies, including a review and analysis of the progress and results of the Company’s pre-clinical studies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key commercial and medical launch strategies prior to regulatory approval of new products or indications as well as the R&amp;D elements of the Company’s long-range plan and lifecycle management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 on the scientific and R&amp;D aspects of business development opportunities, including licensing opportunities (both in-licensing and out-licensing), and M&amp;A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approving, modify, monitoring and directing the process and procedures related to the review and evaluation of certain potential strategic transactions and determining whether to proceed with any such process, procedures, review or evaluation;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on behalf of the Board and the Company whether a possible strategic transaction is advisable and is fair to, and in the best interests of, the Company and its stockholders (or any subset of the stockholders of the Company that the C&amp;T Committee determines to be appropriate), rejecting or approving a possible strategic transaction, or recommending such rejection or approval to the Board, approving or recommending to the Board the consummation of a possible strategic transaction, and reviewing, evaluating and monitoring proceedings and activities of the Company related to certain potential strategic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its charter, the C&amp;T Committee may form, and delegate authority to, subcommittees as appropriate. The C&amp;T Committee reviews, discusses and assesses its own performance at least annually. The C&amp;T Committee also periodically reviews the charter of the C&amp;T Committee and the compliance procedures in place to implement such charter and recommend necessary clarifications or changes to such charter to the Board for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Semnur has adopted a written code of business conduct and ethics, which apply to Semnur’s directors, officers and employees, including Semnur’s principal executive officer, principal financial officer, principal accounting officer or controller, or persons performing similar functions. A current copy of Semnur’s code of business conduct and ethics is be posted on its website at </w:t>
      </w:r>
      <w:r>
        <w:rPr>
          <w:rFonts w:ascii="Times New Roman" w:hAnsi="Times New Roman"/>
          <w:i/>
          <w:sz w:val="20"/>
        </w:rPr>
        <w:t>www.semnurpharma.com</w:t>
      </w:r>
      <w:r>
        <w:rPr>
          <w:rFonts w:ascii="Times New Roman" w:hAnsi="Times New Roman"/>
          <w:sz w:val="20"/>
        </w:rPr>
        <w:t xml:space="preserve">. Information contained on or accessible through such website is not a part of this prospectus, and the inclusion of the website address in this prospectus is an inactive textual reference only. Semnur intends to disclose any amendments to its code of business conduct and ethics, or any waivers of its requirements, on its website to the extent required by the applicable rules and exchange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None of the members of Semnur’s Compensation Committee is currently, or has been at any time in the past year, one of Semnur’s officers or employees. Other than Mr. Ma, Dr. Ji and Mr. Shah, none of Semnur’s executive officers currently serves, or has served during the last year, as a member of the board of directors or Compensation Committee of any entity that has one or more executive officers serving as a member of the Board or Compensation Committee. Please see the section of this prospectus titled “</w:t>
      </w:r>
      <w:r>
        <w:rPr>
          <w:rFonts w:ascii="Times New Roman" w:hAnsi="Times New Roman"/>
          <w:i/>
          <w:sz w:val="20"/>
        </w:rPr>
        <w:t>Semnur’s Executive Compensation</w:t>
      </w:r>
      <w:r>
        <w:rPr>
          <w:rFonts w:ascii="Times New Roman" w:hAnsi="Times New Roman"/>
          <w:sz w:val="20"/>
        </w:rPr>
        <w:t xml:space="preserve">” for information regarding the compensation of Mr. Ma, Dr. Ji and Mr. Shah.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Bylaws contain provisions that limit the liability of Semnur’s directors for monetary damages to the fullest extent permitted by the DGCL. Consequently, Semnur’s directors are not personally liable to Semnur or its stockholders for monetary damages for any breach of fiduciary duties as directors, except liability for the following: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Semnur or its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in violation of the DGCL;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officer, any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also provides that if the DGCL is amended to permit further elimination or limitation of the personal liability of directors or officers, then the liability of Semnur’s directors or officers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Semnur shall indemnify any person who is or was a director or officer of Semnur or who is or was serving at Semnur’s request as a director, officer or trustee of another corporation, limited liability 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Semnur or as a director, officer or trustee of another corporation, limited liability company, partnership, joint venture, employee benefit plan, trust, nonprofit entity or other enterprise (to the extent serving in such position at the request of Semnur), in each case against all liability and loss suffered (including, without limitation, any judgments, fines, excise taxes or penalties arising under the Employee Retirement Income Security Act of 1974 and amounts paid in settlement consented to in writing by Semnur) and expenses (including attorneys’ fees), actually and reasonably incurred by such person in connection therewith, subject to certain conditions. In addition, the Bylaws provide that Semnur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Semnur’s expense, to protect Semnur and any person who is or was a director, officer, employee or agent of Semnur or is or was a director, officer, employee or agent of Semnur serving at its request as a director, officer, employee or agent of another corporation, limited liability company, partnership, joint venture, trust, employee benefit plan or other enterprise against any liability, expense or loss, whether or not Semnur would have the power or obligation to indemnify such person against such liability, expense or loss under the DGCL or the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Semnur has entered into indemnification agreements with each of its directors and executive officers as determined by the Board. These agreements, among other things, require Semnur to indemnify its directors and executive officers against liabilities that may arise by reason of their status or service. These indemnification agreements also require Semnur to advance all expenses actually and reasonably incurred by the directors and executive officers in connection with any proceeding. Semnur believes that these agreements are necessary to attract and retain qualified individuals to serve as directors and executive officers. Semnur also maintains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the Charter, the Bylaws and the indemnification agreements is not complete and is qualified in its entirety by reference to these documents, each of which is filed as an exhibit to the registration statement of which this prospectus is a part. Certain of Semnur’s non-employee directors may, through their relationships with their employers, be insured or indemnified against certain liabilities incurred in their capacity as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Charter and the Bylaws may discourage stockholders from bringing a lawsuit against Semnur’s directors and officers for breach of their fiduciary duty. They may also reduce the likelihood of derivative litigation against Semnur’s directors and officers, even though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action, if successful, might benefit Semnur and its stockholders. In addition, a stockholder’s investment may be adversely affected to the extent Semnur pay the costs of settlement and damage awards against directors and officers pursuant to these indemnification provisions. Insofar as indemnification for liabilities arising under the Securities Act may be permitted to directors or executive officers, Semnur has been informed that in the opinion of the SEC, such indemnification is against public policy and is therefore unenforceable. At present, there is no pending litigation or proceeding involving any of Semnur’s or Semnur’s directors or executive officers as to which indemnification is required or permitted, and Semnur and Semnur are not aware of any threatened litigation or proceeding that may result in a claim for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63562_14"/>
      <w:bookmarkEnd w:id="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November 28, 2025 by: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known to be the beneficial owner of more than 5% of our outstanding Common Stock;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October 6, 2025 are considered outstanding and beneficially owned by the person holding such options or warrants for the purpose of computing the percentage ownership of that person,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our Common Stock is based on 229,740,978 shares of such Common Stock outstanding as of November 28, 2025. Voting power is based on 229,740,978 shares of Common Stock and 5,423,606 shares of Series A Preferred Stock outstanding as November 28, 2025. Shares of Series A Preferred Stock are held solely by Scilex.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we believe, based on information available to us, that all persons and entities named in the table below have sole voting and investment power with respect to all shares shown as beneficially owned by them. </w:t>
      </w:r>
    </w:p>
    <w:p>
      <w:pPr>
        <w:pStyle w:val="TextBody"/>
        <w:bidi w:val="0"/>
        <w:spacing w:before="0" w:after="0"/>
        <w:jc w:val="left"/>
        <w:rPr/>
      </w:pPr>
      <w:r>
        <w:rPr/>
        <w:t> </w:t>
      </w:r>
    </w:p>
    <w:tbl>
      <w:tblPr>
        <w:tblW w:w="9120" w:type="dxa"/>
        <w:jc w:val="left"/>
        <w:tblInd w:w="0" w:type="dxa"/>
        <w:tblLayout w:type="fixed"/>
        <w:tblCellMar>
          <w:top w:w="0" w:type="dxa"/>
          <w:left w:w="0" w:type="dxa"/>
          <w:bottom w:w="0" w:type="dxa"/>
          <w:right w:w="0" w:type="dxa"/>
        </w:tblCellMar>
      </w:tblPr>
      <w:tblGrid>
        <w:gridCol w:w="5330"/>
        <w:gridCol w:w="120"/>
        <w:gridCol w:w="60"/>
        <w:gridCol w:w="1220"/>
        <w:gridCol w:w="60"/>
        <w:gridCol w:w="120"/>
        <w:gridCol w:w="93"/>
        <w:gridCol w:w="872"/>
        <w:gridCol w:w="275"/>
        <w:gridCol w:w="60"/>
        <w:gridCol w:w="60"/>
        <w:gridCol w:w="560"/>
        <w:gridCol w:w="29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Owner(1)</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Common</w:t>
              <w:br/>
              <w:t>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br/>
              <w:t>Common</w:t>
              <w:br/>
              <w:t>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Total</w:t>
              <w:br/>
              <w:t>Vote</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87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7,291,666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3.08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3.01</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7,291,666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3.01</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833,333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Annu Navani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Directors and Executive Officers as a Group (7 individuals)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Beneficial Owners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Scilex Holding Company(5)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188,554,849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82.07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82.49</w:t>
            </w:r>
          </w:p>
        </w:tc>
        <w:tc>
          <w:tcPr>
            <w:tcW w:w="29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Biconomy PTE.LTD(6)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5.44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5.32</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15" w:type="dxa"/>
        <w:jc w:val="left"/>
        <w:tblInd w:w="0" w:type="dxa"/>
        <w:tblLayout w:type="fixed"/>
        <w:tblCellMar>
          <w:top w:w="0" w:type="dxa"/>
          <w:left w:w="0" w:type="dxa"/>
          <w:bottom w:w="0" w:type="dxa"/>
          <w:right w:w="0" w:type="dxa"/>
        </w:tblCellMar>
      </w:tblPr>
      <w:tblGrid>
        <w:gridCol w:w="155"/>
        <w:gridCol w:w="1160"/>
      </w:tblGrid>
      <w:tr>
        <w:trPr/>
        <w:tc>
          <w:tcPr>
            <w:tcW w:w="1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each of the following individuals is 960 San Antonio Road, Palo Alto, CA 94303.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7,291,666 shares issuable upon exercise of options exercisable within 60 days of November 28, 2025. Until the date on which all payments and all obligations under the Oramed Note have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7,291,666 shares issuable upon exercise of options exercisable within 60 days of November 28, 2025. Until the date on which all payments and all obligations under the Oramed Note have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833,333 shares issuable upon exercise of options exercisable within 60 days of November 28, 2025. Until the date on which all payments and all obligations under the Oramed Note have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500,000 shares held directly, 181,804,849 shares held by Scilex, Inc., a wholly owned subsidiary of Scilex Holding Company, with whom it shares voting and investment control, and 6,250,000 shares held by Scilex Bio, Inc., a majority owned subsidiary of Scilex Holding Company, with whom it shares voting and investment control.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(6)</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554,849 shares of Common Stock purchased from Scilex Holding Company and (ii) 11,945,151 shares of Common Stock purchased from Scilex, Inc. Biconomy’s address is 1st Floor, Ellen Skelton Building, 3076 Sir Francis Drake’s Highway, Road Town, Tortola, VG1110, British Virgin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63562_15"/>
      <w:bookmarkEnd w:id="16"/>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Selling Stockholders of up to an aggregate of 203,737,349 Resale Shares, consisting of: (i) up to 2,072,500 Sponsor Shares; (ii) up to 188,554,849 Scilex Shares; (iii) up to 510,000 Private Warrant Shares issuable pursuant to Private Warrants; (iv) up to 100,000 Underwriter Shares; (v) up to 12,500,000 Biconomy Resale Shares; and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200"/>
        <w:gridCol w:w="51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Selling Warrantholders, of up to 510,000 Private Warrants. </w:t>
            </w:r>
          </w:p>
        </w:tc>
      </w:tr>
    </w:tbl>
    <w:p>
      <w:pPr>
        <w:pStyle w:val="TextBody"/>
        <w:bidi w:val="0"/>
        <w:spacing w:before="240" w:after="0"/>
        <w:jc w:val="left"/>
        <w:rPr>
          <w:rFonts w:ascii="Times New Roman" w:hAnsi="Times New Roman"/>
          <w:sz w:val="20"/>
        </w:rPr>
      </w:pPr>
      <w:r>
        <w:rPr>
          <w:rFonts w:ascii="Times New Roman" w:hAnsi="Times New Roman"/>
          <w:sz w:val="20"/>
        </w:rPr>
        <w:t>A description of our relationships with certain of the Selling Securityholders and their affiliates is set forth in “</w:t>
      </w:r>
      <w:r>
        <w:rPr>
          <w:rFonts w:ascii="Times New Roman" w:hAnsi="Times New Roman"/>
          <w:i/>
          <w:sz w:val="20"/>
        </w:rPr>
        <w:t>Certain Relationships and Related Person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cannot advise you as to whether the Selling Securityholders will in fact sell any or all of such shares of Common Stock or Warrants. In particular, the Selling Securityholders identified below may have sold, transferred or otherwise disposed of all or a portion of their securities after the date on which they provided us with information regarding their securities in transactions exempt from registration under the Securities Act. Information about the Selling Securityholders may change over time. Any changed information will be set forth in a prospectus supplement or amendments to the registration statement of which this prospectus is a part, if and when required. Any prospectus supplement or amendments to the registration statement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footnotes below, no Selling Securityholder has had any material relationship with us or any of our affiliates within the past three years other than as a securityholder. </w:t>
      </w:r>
    </w:p>
    <w:p>
      <w:pPr>
        <w:pStyle w:val="TextBody"/>
        <w:bidi w:val="0"/>
        <w:spacing w:before="240" w:after="0"/>
        <w:jc w:val="left"/>
        <w:rPr>
          <w:rFonts w:ascii="Times New Roman" w:hAnsi="Times New Roman"/>
          <w:sz w:val="20"/>
        </w:rPr>
      </w:pPr>
      <w:r>
        <w:rPr>
          <w:rFonts w:ascii="Times New Roman" w:hAnsi="Times New Roman"/>
          <w:sz w:val="20"/>
        </w:rPr>
        <w:t>The following table sets forth certain information provided by or on behalf of the Selling Securityholders as of November 28, 2025 concerning the Resale Shares and Warrants that may be offered from time to time by each Selling Securityholder with this prospectus. See “</w:t>
      </w:r>
      <w:r>
        <w:rPr>
          <w:rFonts w:ascii="Times New Roman" w:hAnsi="Times New Roman"/>
          <w:i/>
          <w:sz w:val="20"/>
        </w:rPr>
        <w:t>Plan of Distribution.</w:t>
      </w:r>
      <w:r>
        <w:rPr>
          <w:rFonts w:ascii="Times New Roman" w:hAnsi="Times New Roman"/>
          <w:sz w:val="20"/>
        </w:rPr>
        <w:t xml:space="preserve">” For the purposes of the following table, we have assumed that the Selling Securityholders will have sold all of the securities covered by this prospectus upon the completion of the offering. The beneficial ownership of Common Stock is based on 229,740,978 shares of such Common Stock outstanding as of November 28, 2025. </w:t>
      </w:r>
    </w:p>
    <w:p>
      <w:pPr>
        <w:pStyle w:val="TextBody"/>
        <w:bidi w:val="0"/>
        <w:spacing w:before="0" w:after="0"/>
        <w:jc w:val="left"/>
        <w:rPr/>
      </w:pPr>
      <w:r>
        <w:rPr/>
        <w:t> </w:t>
      </w:r>
    </w:p>
    <w:tbl>
      <w:tblPr>
        <w:tblW w:w="11959" w:type="dxa"/>
        <w:jc w:val="left"/>
        <w:tblInd w:w="0" w:type="dxa"/>
        <w:tblLayout w:type="fixed"/>
        <w:tblCellMar>
          <w:top w:w="0" w:type="dxa"/>
          <w:left w:w="0" w:type="dxa"/>
          <w:bottom w:w="0" w:type="dxa"/>
          <w:right w:w="0" w:type="dxa"/>
        </w:tblCellMar>
      </w:tblPr>
      <w:tblGrid>
        <w:gridCol w:w="1100"/>
        <w:gridCol w:w="60"/>
        <w:gridCol w:w="74"/>
        <w:gridCol w:w="1521"/>
        <w:gridCol w:w="72"/>
        <w:gridCol w:w="72"/>
        <w:gridCol w:w="72"/>
        <w:gridCol w:w="683"/>
        <w:gridCol w:w="60"/>
        <w:gridCol w:w="60"/>
        <w:gridCol w:w="94"/>
        <w:gridCol w:w="1261"/>
        <w:gridCol w:w="60"/>
        <w:gridCol w:w="60"/>
        <w:gridCol w:w="60"/>
        <w:gridCol w:w="1220"/>
        <w:gridCol w:w="60"/>
        <w:gridCol w:w="60"/>
        <w:gridCol w:w="100"/>
        <w:gridCol w:w="1345"/>
        <w:gridCol w:w="60"/>
        <w:gridCol w:w="60"/>
        <w:gridCol w:w="173"/>
        <w:gridCol w:w="750"/>
        <w:gridCol w:w="173"/>
        <w:gridCol w:w="173"/>
        <w:gridCol w:w="173"/>
        <w:gridCol w:w="753"/>
        <w:gridCol w:w="60"/>
        <w:gridCol w:w="60"/>
        <w:gridCol w:w="254"/>
        <w:gridCol w:w="1101"/>
        <w:gridCol w:w="75"/>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w:t>
              <w:br/>
              <w:t>Selling Securityholder</w:t>
            </w:r>
          </w:p>
        </w:tc>
        <w:tc>
          <w:tcPr>
            <w:tcW w:w="60" w:type="dxa"/>
            <w:tcBorders/>
            <w:vAlign w:val="center"/>
          </w:tcPr>
          <w:p>
            <w:pPr>
              <w:pStyle w:val="TableContents"/>
              <w:bidi w:val="0"/>
              <w:spacing w:before="0" w:after="283"/>
              <w:jc w:val="left"/>
              <w:rPr/>
            </w:pPr>
            <w:r>
              <w:rPr/>
              <w:t> </w:t>
            </w:r>
          </w:p>
        </w:tc>
        <w:tc>
          <w:tcPr>
            <w:tcW w:w="2494" w:type="dxa"/>
            <w:gridSpan w:val="6"/>
            <w:tcBorders>
              <w:bottom w:val="single" w:sz="8" w:space="0" w:color="000000"/>
            </w:tcBorders>
            <w:tcMar>
              <w:bottom w:w="28" w:type="dxa"/>
            </w:tcMar>
            <w:vAlign w:val="center"/>
          </w:tcPr>
          <w:p>
            <w:pPr>
              <w:pStyle w:val="TableContents"/>
              <w:bidi w:val="0"/>
              <w:spacing w:before="0" w:after="283"/>
              <w:jc w:val="center"/>
              <w:rPr/>
            </w:pPr>
            <w:r>
              <w:rPr>
                <w:b/>
              </w:rPr>
              <w:t>Beneficial Ownership of</w:t>
            </w:r>
            <w:r>
              <w:rPr/>
              <w:br/>
            </w:r>
            <w:r>
              <w:rPr>
                <w:b/>
              </w:rPr>
              <w:t>Common Stock Prior to</w:t>
            </w:r>
            <w:r>
              <w:rPr/>
              <w:br/>
            </w:r>
            <w:r>
              <w:rPr>
                <w:b/>
              </w:rPr>
              <w:t>the Offering</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Warrants</w:t>
            </w:r>
            <w:r>
              <w:rPr/>
              <w:br/>
            </w:r>
            <w:r>
              <w:rPr>
                <w:b/>
              </w:rPr>
              <w:t>Beneficially</w:t>
            </w:r>
            <w:r>
              <w:rPr/>
              <w:br/>
            </w:r>
            <w:r>
              <w:rPr>
                <w:b/>
              </w:rPr>
              <w:t>Owned Prior</w:t>
              <w:br/>
              <w:t>to the</w:t>
              <w:br/>
              <w:t>Offering</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8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Number of</w:t>
              <w:br/>
              <w:t>Shares of</w:t>
            </w:r>
            <w:r>
              <w:rPr/>
              <w:br/>
            </w:r>
            <w:r>
              <w:rPr>
                <w:b/>
              </w:rPr>
              <w:t>Common</w:t>
              <w:br/>
              <w:t>Stock Being</w:t>
              <w:br/>
              <w:t>Offered</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w:t>
              <w:br/>
              <w:t>of Common Stock</w:t>
              <w:br/>
              <w:t>After the Offered</w:t>
              <w:br/>
              <w:t>Shares are Sold</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Warrants</w:t>
              <w:br/>
              <w:t>Beneficially</w:t>
              <w:br/>
              <w:t>Owned After</w:t>
              <w:br/>
              <w:t>the</w:t>
            </w:r>
            <w:r>
              <w:rPr/>
              <w:br/>
            </w:r>
            <w:r>
              <w:rPr>
                <w:b/>
              </w:rPr>
              <w:t>Offered</w:t>
              <w:br/>
              <w:t>Warrants</w:t>
              <w:br/>
              <w:t>are Sold</w:t>
            </w:r>
          </w:p>
        </w:tc>
        <w:tc>
          <w:tcPr>
            <w:tcW w:w="75" w:type="dxa"/>
            <w:vMerge w:val="restart"/>
            <w:tcBorders/>
            <w:vAlign w:val="center"/>
          </w:tcPr>
          <w:p>
            <w:pPr>
              <w:pStyle w:val="TableContents"/>
              <w:bidi w:val="0"/>
              <w:spacing w:before="0" w:after="283"/>
              <w:jc w:val="left"/>
              <w:rPr/>
            </w:pPr>
            <w:r>
              <w:rPr/>
              <w:t> </w:t>
            </w:r>
          </w:p>
        </w:tc>
      </w:tr>
      <w:tr>
        <w:trPr/>
        <w:tc>
          <w:tcPr>
            <w:tcW w:w="110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Common Stock</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35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8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br/>
              <w:t>Being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355"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Scilex Holding Company(1)</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500,000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Scilex, Inc.(1)</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181,804,849</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79.13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181,804,849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Scilex Bio, Inc.(1)</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6,250,000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Jim Mao(2)</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20,000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Lei Huang(3)</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50,000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Huifeng Chang(4)</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20,000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“Patrick” Sun(5)</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20,000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Kevin Vassily(6)</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20,000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Jiandong Xu(7)</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t>2,202,500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510,000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2,202,500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510,000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1795" w:type="dxa"/>
        <w:jc w:val="left"/>
        <w:tblInd w:w="0" w:type="dxa"/>
        <w:tblLayout w:type="fixed"/>
        <w:tblCellMar>
          <w:top w:w="0" w:type="dxa"/>
          <w:left w:w="0" w:type="dxa"/>
          <w:bottom w:w="0" w:type="dxa"/>
          <w:right w:w="0" w:type="dxa"/>
        </w:tblCellMar>
      </w:tblPr>
      <w:tblGrid>
        <w:gridCol w:w="1100"/>
        <w:gridCol w:w="60"/>
        <w:gridCol w:w="82"/>
        <w:gridCol w:w="1514"/>
        <w:gridCol w:w="82"/>
        <w:gridCol w:w="82"/>
        <w:gridCol w:w="82"/>
        <w:gridCol w:w="608"/>
        <w:gridCol w:w="60"/>
        <w:gridCol w:w="60"/>
        <w:gridCol w:w="254"/>
        <w:gridCol w:w="1101"/>
        <w:gridCol w:w="60"/>
        <w:gridCol w:w="60"/>
        <w:gridCol w:w="60"/>
        <w:gridCol w:w="1100"/>
        <w:gridCol w:w="60"/>
        <w:gridCol w:w="60"/>
        <w:gridCol w:w="270"/>
        <w:gridCol w:w="1175"/>
        <w:gridCol w:w="60"/>
        <w:gridCol w:w="60"/>
        <w:gridCol w:w="173"/>
        <w:gridCol w:w="750"/>
        <w:gridCol w:w="173"/>
        <w:gridCol w:w="173"/>
        <w:gridCol w:w="173"/>
        <w:gridCol w:w="753"/>
        <w:gridCol w:w="60"/>
        <w:gridCol w:w="60"/>
        <w:gridCol w:w="254"/>
        <w:gridCol w:w="1101"/>
        <w:gridCol w:w="75"/>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w:t>
              <w:br/>
              <w:t>Selling Securityholder</w:t>
            </w:r>
          </w:p>
        </w:tc>
        <w:tc>
          <w:tcPr>
            <w:tcW w:w="60" w:type="dxa"/>
            <w:tcBorders/>
            <w:vAlign w:val="center"/>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center"/>
          </w:tcPr>
          <w:p>
            <w:pPr>
              <w:pStyle w:val="TableContents"/>
              <w:bidi w:val="0"/>
              <w:spacing w:before="0" w:after="283"/>
              <w:jc w:val="center"/>
              <w:rPr/>
            </w:pPr>
            <w:r>
              <w:rPr>
                <w:b/>
              </w:rPr>
              <w:t>Beneficial Ownership of</w:t>
            </w:r>
            <w:r>
              <w:rPr/>
              <w:br/>
            </w:r>
            <w:r>
              <w:rPr>
                <w:b/>
              </w:rPr>
              <w:t>Common Stock Prior to</w:t>
            </w:r>
            <w:r>
              <w:rPr/>
              <w:br/>
            </w:r>
            <w:r>
              <w:rPr>
                <w:b/>
              </w:rPr>
              <w:t>the Offering</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Warrants</w:t>
            </w:r>
            <w:r>
              <w:rPr/>
              <w:br/>
            </w:r>
            <w:r>
              <w:rPr>
                <w:b/>
              </w:rPr>
              <w:t>Beneficially</w:t>
            </w:r>
            <w:r>
              <w:rPr/>
              <w:br/>
            </w:r>
            <w:r>
              <w:rPr>
                <w:b/>
              </w:rPr>
              <w:t>Owned Prior</w:t>
              <w:br/>
              <w:t>to the</w:t>
              <w:br/>
              <w:t>Offering</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Number of</w:t>
              <w:br/>
              <w:t>Shares of</w:t>
            </w:r>
            <w:r>
              <w:rPr/>
              <w:br/>
            </w:r>
            <w:r>
              <w:rPr>
                <w:b/>
              </w:rPr>
              <w:t>Common</w:t>
              <w:br/>
              <w:t>Stock Being</w:t>
              <w:br/>
              <w:t>Offered</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w:t>
              <w:br/>
              <w:t>of Common Stock</w:t>
              <w:br/>
              <w:t>After the Offered</w:t>
              <w:br/>
              <w:t>Shares are Sold</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Warrants</w:t>
              <w:br/>
              <w:t>Beneficially</w:t>
              <w:br/>
              <w:t>Owned After</w:t>
              <w:br/>
              <w:t>the</w:t>
            </w:r>
            <w:r>
              <w:rPr/>
              <w:br/>
            </w:r>
            <w:r>
              <w:rPr>
                <w:b/>
              </w:rPr>
              <w:t>Offered</w:t>
              <w:br/>
              <w:t>Warrants</w:t>
              <w:br/>
              <w:t>are Sold</w:t>
            </w:r>
          </w:p>
        </w:tc>
        <w:tc>
          <w:tcPr>
            <w:tcW w:w="75" w:type="dxa"/>
            <w:vMerge w:val="restart"/>
            <w:tcBorders/>
            <w:vAlign w:val="center"/>
          </w:tcPr>
          <w:p>
            <w:pPr>
              <w:pStyle w:val="TableContents"/>
              <w:bidi w:val="0"/>
              <w:spacing w:before="0" w:after="283"/>
              <w:jc w:val="left"/>
              <w:rPr/>
            </w:pPr>
            <w:r>
              <w:rPr/>
              <w:t> </w:t>
            </w:r>
          </w:p>
        </w:tc>
      </w:tr>
      <w:tr>
        <w:trPr/>
        <w:tc>
          <w:tcPr>
            <w:tcW w:w="110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Common Stock</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355"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16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br/>
              <w:t>Being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355"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FutureTech Capital LLC(8)</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250,000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Tiger(9)</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50,000</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 Boral(10)</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pPr>
            <w:r>
              <w:rPr/>
              <w:t>50,000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Biconomy(11)</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right"/>
              <w:rPr/>
            </w:pPr>
            <w:r>
              <w:rPr/>
              <w:t>12,500,000</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5.44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15" w:type="dxa"/>
        <w:jc w:val="left"/>
        <w:tblInd w:w="0" w:type="dxa"/>
        <w:tblLayout w:type="fixed"/>
        <w:tblCellMar>
          <w:top w:w="0" w:type="dxa"/>
          <w:left w:w="0" w:type="dxa"/>
          <w:bottom w:w="0" w:type="dxa"/>
          <w:right w:w="0" w:type="dxa"/>
        </w:tblCellMar>
      </w:tblPr>
      <w:tblGrid>
        <w:gridCol w:w="155"/>
        <w:gridCol w:w="1160"/>
      </w:tblGrid>
      <w:tr>
        <w:trPr/>
        <w:tc>
          <w:tcPr>
            <w:tcW w:w="1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Scilex Holding Company is our parent company and, directly and indirectly through its subsidiaries Scilex, Inc. and Scilex Bio, Inc., holds over 80% of our outstanding Common Stock. The address of the Selling Securityholder is 960 San Antonio Road, Palo Alto, CA 94303.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Mao served as a member of our Board from April 2022 to September 2025. The address of the Selling Securityholder is P.O. Box 612114, San Jose, CA 95161.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Huang served as Chief Executive Officer and as a member of our Board from January 2022 to September 2025. The address of the Selling Securityholder is 3 Stoner Ave, Great Neck, NY 11021.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Chang served as a member of our Board from April 2022 to September 2025. The address of the Selling Securityholder is 10 Eastern Drive, Princeton Junction, NJ 08550.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Sun served as Chief Financial Officer from January 2022 to September 2025. The address of the Selling Securityholder is 6115 Tarcutta Ridge Lane, Sugar Land, TX 77479.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(6)</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Vassily served as a member of our Board from April 2022 to September 2025. The address of the Selling Securityholder is 3335 SW 86th Ave, Portland, OR 97225.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(7)</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Xu is a member Denali Capital Global Investments LLC, which was our sponsor prior to the closing of the Business Combination. The address of the Selling Securityholder is 11 Meadow Ln, Manhasset, NY 11030.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283"/>
              <w:jc w:val="left"/>
              <w:rPr/>
            </w:pPr>
            <w:r>
              <w:rPr/>
              <w:t>(8)</w:t>
            </w:r>
          </w:p>
        </w:tc>
        <w:tc>
          <w:tcPr>
            <w:tcW w:w="6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address of the Selling Securityholder is 128 Gail Dr. New Rochelle, NY 10805.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(9)</w:t>
            </w:r>
          </w:p>
        </w:tc>
        <w:tc>
          <w:tcPr>
            <w:tcW w:w="99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Tiger acted as an underwriter in the Company’s IPO and received 50,000 shares of Common Stock as deferred compensation for such underwriter services. The address of the Selling Securityholder is 437 Madison Avenue, 27th Fl., New York, NY 10022. </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pPr>
            <w:r>
              <w:rPr/>
              <w:t>(10)</w:t>
            </w:r>
          </w:p>
        </w:tc>
        <w:tc>
          <w:tcPr>
            <w:tcW w:w="9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 Boral acted as an underwriter in the Company’s IPO and received 50,000 shares of Common Stock as deferred compensation for such underwriter services. The address of the Selling Securityholder is 590 Madison Avenue, 39th Fl., New York, NY 10022. </w:t>
            </w:r>
          </w:p>
        </w:tc>
      </w:tr>
    </w:tbl>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pPr>
            <w:r>
              <w:rPr/>
              <w:t>(11)</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554,849 shares of Common Stock purchased from Scilex Holding Company and (ii) 11,945,151 shares of Common Stock purchased from Scilex, Inc. Biconomy’s address is 1st Floor, Ellen Skelton Building, 3076 Sir Francis Drake’s Highway, Road Town, Tortola, VG1110, British Virgin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63562_16"/>
      <w:bookmarkEnd w:id="1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issuance by us of up to an aggregate of 8,760,000 shares of Common Stock, comprised of (i) 510,000 Private Warrant Shares and (ii) 8,250,000 Public Warrants Shares. </w:t>
      </w:r>
    </w:p>
    <w:p>
      <w:pPr>
        <w:pStyle w:val="TextBody"/>
        <w:bidi w:val="0"/>
        <w:spacing w:before="240" w:after="0"/>
        <w:jc w:val="left"/>
        <w:rPr>
          <w:rFonts w:ascii="Times New Roman" w:hAnsi="Times New Roman"/>
          <w:sz w:val="20"/>
        </w:rPr>
      </w:pPr>
      <w:r>
        <w:rPr>
          <w:rFonts w:ascii="Times New Roman" w:hAnsi="Times New Roman"/>
          <w:sz w:val="20"/>
        </w:rPr>
        <w:t xml:space="preserve">We are also registering the offer and sale from time to time by: </w:t>
      </w:r>
    </w:p>
    <w:p>
      <w:pPr>
        <w:pStyle w:val="TextBody"/>
        <w:bidi w:val="0"/>
        <w:spacing w:before="120" w:after="0"/>
        <w:jc w:val="left"/>
        <w:rPr>
          <w:rFonts w:ascii="Times New Roman" w:hAnsi="Times New Roman"/>
          <w:sz w:val="20"/>
        </w:rPr>
      </w:pPr>
      <w:r>
        <w:rPr>
          <w:rFonts w:ascii="Times New Roman" w:hAnsi="Times New Roman"/>
          <w:sz w:val="20"/>
        </w:rPr>
        <w:t xml:space="preserve">(a) the Selling Stockholders of up to an aggregate of 203,737,349 Resale Shares, consisting of: (i) up to 2,072,500 Sponsor Shares; (ii) up to 188,554,849 Scilex Shares; and (iii) up to 510,000 Private Warrant Shares; (iv) up to 100,000 Underwriter Shares; (v) up to 12,500,000 Biconomy Resale Shares; and </w:t>
      </w:r>
    </w:p>
    <w:p>
      <w:pPr>
        <w:pStyle w:val="TextBody"/>
        <w:bidi w:val="0"/>
        <w:spacing w:before="240" w:after="0"/>
        <w:jc w:val="left"/>
        <w:rPr>
          <w:rFonts w:ascii="Times New Roman" w:hAnsi="Times New Roman"/>
          <w:sz w:val="20"/>
        </w:rPr>
      </w:pPr>
      <w:r>
        <w:rPr>
          <w:rFonts w:ascii="Times New Roman" w:hAnsi="Times New Roman"/>
          <w:sz w:val="20"/>
        </w:rPr>
        <w:t xml:space="preserve">(b) the Selling Warrantholders of up to 510,000 Private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by the Selling Securityholders of the securities offered by them described in this prospectus, except with respect to amounts received by us upon the exercise of the Private Warrants for cash. The aggregate proceeds to the Selling Securityholders will be the purchase price of the securities less any discounts and commissions borne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any underwriting discounts and commissions and expenses incurred by the Selling Securityholders for brokerage, accounting, tax or legal services or any other expenses incurred by the Selling Securityholders in disposing of the securities. We are required to pay all other fees and expenses incident to the registration of the securities to be offered and sold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the Private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w:t>
      </w:r>
    </w:p>
    <w:p>
      <w:pPr>
        <w:pStyle w:val="TextBody"/>
        <w:bidi w:val="0"/>
        <w:spacing w:before="240" w:after="0"/>
        <w:jc w:val="left"/>
        <w:rPr>
          <w:rFonts w:ascii="Times New Roman" w:hAnsi="Times New Roman"/>
          <w:sz w:val="20"/>
        </w:rPr>
      </w:pPr>
      <w:r>
        <w:rPr>
          <w:rFonts w:ascii="Times New Roman" w:hAnsi="Times New Roman"/>
          <w:sz w:val="20"/>
        </w:rPr>
        <w:t xml:space="preserve">We are also registering the issuance by us of up to 8,250,000 shares of our Common Stock that are issuable upon exercise of the Public Warrants. We will receive proceeds from the Public Warrants exercised in the event that such Public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sell their shares and warrants by one or more of, or a combination of, the following methods: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applicable exchange on which the shares are listed or admitted to trading;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Selling Securityholder to its partners, members or stockholders;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or warrant;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Securityholders will sell all or any of the securities offered by this prospectus. In addition, any shares that qualify for sale pursuant to Rule 144 may be sold under Rule 144 rather than pursuant to this prospectus. The Selling Securityholders have the sole and absolute discretion not to accept any purchase offer or make any sale of securities if they deem the purchase price to be unsatisfactory at any particular time.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agreement(s) governing the registration rights applicable to a Selling Securityholder’s shares of Common Stock, such Selling Securityholder may transfer shares of Common Stock to one or more “permitted transferees” in accordance with such agreements and, if so transferred, such permitted transferee(s) will be the selling beneficial owner(s) for purposes of this prospectus. Upon being notified by a Selling Securityholder that it intends to sell our securities, we will, to the extent required, promptly file a supplement to this prospectus to name specifically such person as a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to the extent required, the following information: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specific securities to be offered and sold;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purchase prices and public offering prices, the proceeds to be received from the sale, if any, and other material terms of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if not already named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Securityholders.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distributions of the Resale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offered by this prospectus,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Common Stock and Public Warrants are currently traded on the Pink Limited Market of the OTC Markets under the symbols “SMNR” and “SMNRW,”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of any offering made under this prospectus a member of FINRA participating in the offering has a “conflict of interest” as defined in FINRA Rule 5121 (“Rule 5121”), that offering will be conducted in accordance with the relevant provisions of Rule 5121.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the Selling Securityholders and any broker-dealers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Warrants may exercise its Warrants in accordance with the Warrant Agreement on or before the expiration date set forth therein by surrendering, at the office of the warrant agent, Continental,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63562_17"/>
      <w:bookmarkEnd w:id="18"/>
      <w:r>
        <w:rPr>
          <w:rFonts w:ascii="Times New Roman" w:hAnsi="Times New Roman"/>
          <w:b/>
          <w:sz w:val="20"/>
        </w:rPr>
        <w:t xml:space="preserve">DESCRIPTION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the most important terms of Semnur’s securities. The following summary does not purport to be complete and is subject to the Charter, the Bylaws and the provisions of applicable law. A copy of the Charter and Bylaws are included as exhibits to this prospectus. The stockholders are encouraged to read the applicable provisions of the DGCL, the Charter and the Bylaws in their entirety for a complete description of the rights and preferences of Semnur’s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(i) 740,000,000 shares of Common Stock, $0.0001 par value per share and (ii) 45,000,000 shares of undesignated preferred stock, $0.0001 par value per share (the “Preferred Stock”), of which 5,423,606 shares have been designated as Series A Preferred Stock. As of November 28, 2025, there were 229,740,978 shares of Common Stock and 5,423,606 shares of Series A Preferred Stock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the following with respect to the rights, powers, preferences and privileges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The holders of Common Stock are entitled to receive ratably those dividends, if any, that may be declared from time to time by the Board upon the shares of capital stock of Semnur, which dividends may be paid either in cash, in property or in shares of capital stock of Semnur, subject to preferences that may be applicable to preferred stock, if any, then outstanding. Subject to applicable law and the Charter, the Board has full power to determine whether any dividends shall be declared and paid to stockholders. See the section titled “</w:t>
      </w:r>
      <w:r>
        <w:rPr>
          <w:rFonts w:ascii="Times New Roman" w:hAnsi="Times New Roman"/>
          <w:i/>
          <w:sz w:val="20"/>
        </w:rPr>
        <w:t>Trading Market and Dividends — Dividend Policy</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share of Common Stock shall entitle the holder thereof to one vote on each matter on which stockholders generally are entitled to vote, except for any amendment to the Charter that relates solely to the terms of one or more outstanding classes or series of Preferred Stock if the holders of such affected classes or series are entitled, either separately or together with the holders of one or more other such classes or series, to vote thereon pursuant to the Charter or the DGCL. Any action or matter presented to the stockholders at a duly called or convened meeting, at which a quorum is present, will be decided by the affirmative vote of the holders of a majority of the votes cast affirmatively or negatively (excluding abstentions) at the meeting by the holders entitled to vote thereon, except that Semnur’s directors are elected by a plurality of the votes cast.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liquidation, dissolution or winding up of Semnur, the holders of Common Stock are entitled to share ratably in all assets remaining after payment of liabilities, subject to prior distribution rights of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have no preemptive or conversion rights or other subscription rights. There are no redemption or sinking fund provisions applicable to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shares of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Semnur’s stockholders. The number of authorized shares of Common Stock and Preferred Stock may be increased or decreased (but not below the number of the shares thereof then outstanding) by the affirmative vote of the holders of a majority of the voting power of the outstanding stock of Semnur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Common Stock and the voting and other rights of the holders of Common Stock. Other than the Series A Preferred Stock issued to Scilex, there is no other Preferred Stock outstanding and Semnur has no current plans to issue any other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Stock Number and Designation </w:t>
      </w:r>
    </w:p>
    <w:p>
      <w:pPr>
        <w:pStyle w:val="TextBody"/>
        <w:bidi w:val="0"/>
        <w:spacing w:before="120" w:after="0"/>
        <w:jc w:val="left"/>
        <w:rPr>
          <w:rFonts w:ascii="Times New Roman" w:hAnsi="Times New Roman"/>
          <w:sz w:val="20"/>
        </w:rPr>
      </w:pPr>
      <w:r>
        <w:rPr>
          <w:rFonts w:ascii="Times New Roman" w:hAnsi="Times New Roman"/>
          <w:sz w:val="20"/>
        </w:rPr>
        <w:t xml:space="preserve">We filed the Certificate of Designations, designating 5,423,606 shares of our preferred stock as “Series A Preferred Stock”. As of the date of this prospectus, 5,423,606 shares of Series A Preferred Stock have been issued to Scilex pursuant to the terms of the Merger Agreement and such shares have all of the rights, preferences and privileges set forth in the Certificate of Designations as more fully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winding-up of Semnur (“Junior Securities”); and (ii) on parity with each class or series of capital stock of Semnur, created specifically ranking by its terms on parity with the Series A Preferred Stock as to dividend rights and rights on liquidation, dissolution or winding-up of Semnur (“Parity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Series A Preferred Stock shall not be entitled to dividends unless Semnur pays dividends to holders of Common Stock and shall be entitled to receive, when, as and if declared by the Board,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liquidation, dissolution or winding-up of Semnur, whether voluntary or involuntary, before any payment or distribution of Semnur’s property or assets (whether capital or surplus)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Semnur assuming that such share had been converted into shares of Common Stock in a Deemed Conversion (as defined below). If, in the event of a change of control, liquidation, dissolution or winding-up 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and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Other Preferred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Semnur, or increase the authorized amount of any such other class or series; or (c) amend its certificate of incorporation or the Certificate of Designations in any manner that adversely affects the holders of Series A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certain stockholders of Semnur are able to demand that Semnur register their registrable securities under certain circumstances and have piggyback registration rights for these securities. In addition, Semnur is required to file and maintain an effective registration statement under the Securities Act covering the resale of all such registrable securities. The registration of these securities enables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Semnur’s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Matters in Semnur’s Governing Documents and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along with the Charter and the Bylaws, all of which are summarized below, may have the effect of delaying, deferring or discouraging another person from acquiring control of Semnur. These provisions are expected to discourage coercive takeover practices and inadequate takeover bids. These provisions are also designed, in part, to encourage persons seeking to acquire control of Semnur to first negotiate with the Board. However, these provisions could have the effect of delaying, discouraging or preventing attempts to acquire Semnur, which could deprive Semnur’s stockholders of opportunities to sell their shares of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Common Stock and Preferred Stock are available for future issuance without stockholder approval, subject to any limitations imposed by the rules of the Nasdaq Listing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Semnur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The Charter provides that the Board is divided into three classes, with the classes as nearly equal in number as practical and each class serving three-year staggered terms. The directors in each class serve for a three-year term (other than the directors initially assigned to Class I whose term shall expire at the first annual meeting of stockholders following the date the Charter was filed with the Secretary of State of the State of Delaware and those assigned to Class II whose term shall expire to the second annual meeting of stockholders following the date the Charter was filed with the Secretary of State of the State of Delaware), with one class being elected each year by the stockholders. This system of electing and removing directors may tend to discourage a third party from making a tender offer or otherwise attempting to obtain control of Semnur, because it generally makes it more difficult for stockholders to replace a majority of the directors. See the section of this prospectus titled “</w:t>
      </w:r>
      <w:r>
        <w:rPr>
          <w:rFonts w:ascii="Times New Roman" w:hAnsi="Times New Roman"/>
          <w:i/>
          <w:sz w:val="20"/>
        </w:rPr>
        <w:t>Directors and Executive Officers</w:t>
      </w:r>
      <w:r>
        <w:rPr>
          <w:rFonts w:ascii="Times New Roman" w:hAnsi="Times New Roman"/>
          <w:sz w:val="20"/>
        </w:rPr>
        <w:t xml:space="preserve">” for more information on the classified board. </w:t>
      </w:r>
    </w:p>
    <w:p>
      <w:pPr>
        <w:pStyle w:val="TextBody"/>
        <w:bidi w:val="0"/>
        <w:spacing w:before="240" w:after="0"/>
        <w:jc w:val="left"/>
        <w:rPr>
          <w:rFonts w:ascii="Times New Roman" w:hAnsi="Times New Roman"/>
          <w:sz w:val="20"/>
        </w:rPr>
      </w:pPr>
      <w:r>
        <w:rPr>
          <w:rFonts w:ascii="Times New Roman" w:hAnsi="Times New Roman"/>
          <w:sz w:val="20"/>
        </w:rPr>
        <w:t xml:space="preserve">The Charter also provides that the total number of directors shall be determined from time to time exclusively by the Board; provided that, at any time prior to a Scilex Trigger Event, the stockholders may also fix the number of directors by resolution adopted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except as otherwise required by law or the Charter, directors may be removed with or without cause by the affirmative vote of the holders of a majority of the voting power of the then-outstanding shares of stock of Semnur entitled to vote generally in the election of such directors; provided, however, that, from and after the Scilex Trigger Event, any such director or all such directors may be removed only for cause and only by the affirmative vote of the holders of at least 66 2⁄3% of the voting power of all the then-outstanding shares of stock of Semnur entitled to vote thereon, voting together as a single class, in each case subject to the rights of holders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Charter provides that, except as otherwise provided therein or by law, any vacancy resulting from the death, resignation, removal or disqualification of a director or other cause, or any newly created directorship in the Board, may be filled by a majority of the directors then in office, although less than a quorum, or by Semnur’s stockholders; provided, however, that from and after the Scilex Trigger Event, any vacancy resulting from the death, resignation, removal or disqualification of a director or other cause, or any newly created directorship in the Board, shall be filled only by a majority of the directors then in office, although less than a quorum, and shall not be filled by Semnur’s stockholders, in each case subject to the rights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 series of preferred stock. These provisions may have the effect of deferring, delaying, or discouraging hostile takeovers, changes in control of Semnur or changes in its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Semnur has opted out of Section 203 of the DGCL until the occurrence of a Scilex Trigger Event, at which time Semnur shall immediately and automatically become governed by Section 203 of the DGCL. 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the Board, including discouraging attempts that might result in a premium over the market price for the shares of Common Stock held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Charter provides that the restrictions on business combination of Section 203 of the DGCL do not apply to Scilex or its current or future Affiliates (as defined in the Charter) regardless of the percentage of ownership of the total voting power of all the then-outstanding shares of capital stock of Semnur entitled to vote generally in the election of directors beneficially owned by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The Charter does not authorize cumulative voting. Therefore, stockholders holding a majority of the shares of capital stock of Semnur entitled to vote generally in the election of directors are able to elect all of Semnur’s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special meetings of stockholders may only be called by order of the Chairman of the Board, the Board or the Chief Executive Officer; provided, however, that at any time prior to the Scilex Trigger Event, special meetings of Semnur stockholders shall also be called by or at the direction of the Board or the Chairman of the Board at the request of Scilex, in each case subject to the rights of the holders of any series of Preferred Stock with respect to such series of preferred stock. The Bylaws prohibit the conduct of any business at a special meeting other than as specified in the notice for such meeting. These provisions may have the effect of deferring, delaying, or discouraging hostile takeovers or changes in control or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established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Semnur with certain information.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to be timely, a stockholder’s notice must be delivered to the secretary of Semnur at Semnur’s principal executive offices not earlier than the close of business on the 120th day nor later than the close of business on the 90th day prior to the first anniversary of the preceding year’s annual meeting (in the case of the first annual meeting of stockholders held after January 1, 2026, the date of the preceding year’s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stockholders shall be deemed to be June 30, 2025); provided, however, that, if the date of the annual meeting is advanced more 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and the 10th day following the day on which public announcement of the date of such meeting is first made by Semnur. The Bylaws will also specify requirements as to the form and content of a stockholder’s notice. The Bylaws will allow any previously scheduled stockholders meeting to be postponed, adjourned or canceled by resolution of the Board; provided, however, that with respect to any special meeting of stockholders scheduled at the request of Scilex, the Board is not allowed to postpone, reschedule or cancel without the prior written consent of Scilex. In addition, the Bylaws will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and the terms of the Charter, any action required or permitted to be taken by the stockholders of Semnur must be effected by a duly called annual or special meeting of such stockholders; provided, however, that prior to the Scilex Trigger Event, any action required or permitted to be taken at any annual or special meeting of stockholders of Semnur may be taken without a meeting, without prior notice and without a vote, if a consent or consents, setting forth the action so taken, is signed by or on behalf of the holders of record of outstanding stock having not less than the minimum number of votes that would be necessary to authorize or take such action at a meeting at which all shares entitled to vote thereon were present and voted, is delivered to Semnur in accordance with the DGCL, in each case subject to the rights of the holders of any series of Preferred Stock with respect to such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Charter provides that, upon the occurrence of the Scilex Trigger Event, the affirmative vote of the holders of at least 66 2/3% of the voting power of the then-outstanding shares of stock entitled to vote thereon, voting together as a single class, will be required to alter, amend or repeal the following provisions of the Charter: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 </w:t>
      </w:r>
    </w:p>
    <w:p>
      <w:pPr>
        <w:pStyle w:val="TextBody"/>
        <w:bidi w:val="0"/>
        <w:spacing w:before="240" w:after="0"/>
        <w:jc w:val="left"/>
        <w:rPr>
          <w:rFonts w:ascii="Times New Roman" w:hAnsi="Times New Roman"/>
          <w:sz w:val="20"/>
        </w:rPr>
      </w:pPr>
      <w:r>
        <w:rPr>
          <w:rFonts w:ascii="Times New Roman" w:hAnsi="Times New Roman"/>
          <w:sz w:val="20"/>
        </w:rPr>
        <w:t xml:space="preserve">The Charter and Bylaws provide that the Board is authorized to make, alter and repeal the Bylaws, without the consent or vote of the stockholders, by an approval of a majority of the total authorized number of directors. Upon the occurrence of the Scilex Trigger Event, the affirmative vote of the holders of at least 66 2/3% of the voting power of the then-outstanding shares of stock entitled to vote thereon, voting together as a single class, will be required to alter, amend or repeal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the Charter and Bylaws could have the effect of discouraging others from attempting hostile takeovers and, as a consequence, they may also inhibit temporary fluctuations in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of Common Stock that often result from actual or rumored hostile takeover attempts. These provisions may also have the effect of preventing changes in the composition of the Board and Semnur’s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unless Semnur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Semnur, (ii) any action asserting a claim of breach of a fiduciary duty owed by any of the current or former directors, officers, employees or stockholders of Semnur to Semnur or its stockholders, (iii) any action asserting a claim against Semnur or any of its current or former directors, officers, employees or stockholders arising pursuant to any provision of the DGCL or of the Charter or Bylaws, (iv) any claim or cause of action seeking to interpret, apply, enforce or determine the validity of the Charter or Bylaws, (v) any action or proceeding asserting a claim against Semnur or any of the current or former directors, officers, employees or stockholders of Semnur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Charter provides that, unless Semnur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Although Semnur believes these provisions benefit the company by providing increased consistency in the application of applicable law in the types of lawsuits to which they apply, the provisions may have the effect of discouraging lawsuits against Semnur’s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Semnur, a court could find the choice of forum provisions contained in the Charter to be inapplicable or unenforceable in such action. Semnur may incur additional costs associated with resolving such action in other jurisdictions, which could harm the business, operating results and financial condition of Semnur. Any person or entity purchasing or otherwise acquiring any interest in shares of Semnur’s capital stock shall be deemed to have notice of and consented to the forum provisions in the Charter.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Bylaws contain provisions that limit the liability of Semnur’s directors and officers for monetary damages to the fullest extent permitted by the DGCL. Consequently, Semnur’s directors and officers are not personally liable to Semnur or its stockholders for monetary damages for any breach of fiduciary duties as directors or officers, as applicable, except liability for the following: </w:t>
      </w:r>
    </w:p>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Semnur or its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in violation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the officer derived an improper personal benefit;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officer, any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also provides that if the DGCL is amended to permit further elimination or limitation of the personal liability of directors, then the liability of Semnur’s directors or officers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Semnur shall indemnify any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Semnur or as a director, officer or trustee of another corporation, limited liability company, partnership, joint venture, employee benefit plan, trust, nonprofit entity or other enterprise (to the extent serving in such position at the request of Semnur), in each case against all liability and loss suffered (including, without limitation, any judgments, fines, excise taxes or penalties arising under the Employee Retirement Income Security Act of 1974 and amounts paid in settlement consented to in writing by Semnur) and expenses (including attorneys’ fees), actually and reasonably incurred by such person in connection therewith, subject to certain conditions. In addition, the Bylaws provide that Semnur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Semnur’s expense, to protect Semnur and any person who is or was a director, officer, employee or agent of Semnur or is or was a director, officer, employee or agent of Semnur serving at its request as a director, officer, employee or agent of another corporation, limited liability company, partnership, joint venture, trust, employee benefit plan or other enterprise against any liability, expense or loss, whether or not Semnur would have the power or obligation to indemnify such person against such liability, expense or loss under the DGCL or the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their respective directors and officers, as determined by the Board. These agreements, among other things, require Semnur to indemnify its directors and executive officers against liabilities that may arise by reason of their status or service. These indemnification agreements also require Semnur to advance all expenses actually and reasonably incurred by the directors and executive officers in connection with any proceeding. The Board believes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the Charter, the Bylaws and the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of Semnur’s non-employee directors may, through their relationships with their employers, be insured or indemnified against certain liabilities incurred in their capacity as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Charter and the Bylaws may discourage stockholders from bringing a lawsuit against Semnur’s directors and officers for breach of their fiduciary duty. They may also reduce the likelihood of derivative litigation against Semnur’s directors and officers, even though an action, if successful, might benefit Semnur and its stockholders. In addition, a stockholder’s investment may be adversely affected to the extent Semnur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or executive officers, Semnur has been informed that in the opinion of the SEC, such indemnification is against public policy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The Charter provides that, to the fullest extent permitted by law, no Identified Person (as defined therein) has any duty to refrain from (i) engaging in a corporate opportunity in the same or similar business activities or lines of business in which Semnur or its affiliates are engaged or that are deemed to be competing with Semnur or any of its affiliates or (ii) otherwise investing in or providing services to any person that is engaged in the same or similar business activities as Semnur or its affiliates or competes with Semnur or its affiliates. In addition, to the fullest extent permitted by law, no Identified Person has any obligation to offer to Semnur or its subsidiaries or affiliates the right to participate in any corporate opportunity in the same or similar business activities or lines of business in which Semnur or its affiliates are engaged or that are deemed to be competing with Semnur or any of its affiliates. Subject to the preceding sentences and to the fullest extent permitted by applicable law, neither Semnur nor any of its subsidiaries shall have any rights in any business interests, activities or ventures of any Identified Person, and Semnur waives and renounces any interest or expectancy therein, except with respect to opportunities offered solely and expressly to officers of Semnur in their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Semnur’s stockholders will have appraisal rights in connection with a merger or consolidation of Semnur.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the stockholders of Semnur may bring an action in the company’s name to procure a judgment in its favor, also known as a derivative action, provided that the stockholder bringing the action is a holder of Semnur’s capital stock at the time of the transaction to which the action relates.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Domestication, each warrant to purchase Denali Ordinary Shares that was issued and outstanding immediately prior to the effective time of the Domestication and not terminated pursuant to its terms was converted into a warrant to purchase shares of Common Stock on the same terms and conditions were in effect with respect to such warrant immediately prior to the effective time of the Domestication. There are currently outstanding an aggregate of 8,250,000 Public Warrants and 510,000 Private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Public Warrant entitles the registered holder thereof to purchase one share of Common Stock at a price of $11.50 per share, subject to adjustment as described in this prospectus, at any time commencing on the later of 30 days after the consummation of the Business Combination and 12 months from the date of the closing of the IPO. We may, in our sole discretion, lower the warrant exercise price at any time prior to the expiration date for a period of not less than 15 business days (unless otherwise required by the SEC, any national securities exchange on which the Warrants are listed or applicable law) and any such reduction will be identical to all of the warrants, provided that we will provide at least five days’ prior written notice to registered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Semnur will not be obligated to deliver any Common Stock pursuant to the exercise of a warrant and shall have no obligation to settle such warrant exercise unless an effective and current registration statement covering the issuance of the Common Stock issuable upon exercise of the warrants is effective and a prospectus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Common Stock is current or a valid exemption from registration is available. Notwithstanding the foregoing, if a registration statement covering the issuance of the Common Stock issuable upon exercise of the Public Warrants is not effective within 60 days from the consummation of the Business Combination, warrant holders may, from the 61st day after the consummation of the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five years from the consummation of the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for capital raising purposes, (x) we issue additional shares of Common Stock or equity-linked securities at the Newly Issued Price, (y) the aggregate gross proceeds from such issuances represent more than 60% of the total equity proceeds, and interest thereon, available for the funding of the Business Combination on the date of the consummation of the Business Combination (net of redemptions), and (z) the Market Value (as defined in the Warrant Agreement) is below $9.20 per share, the exercise price of the warrants will be adjusted (to the nearest cent) to be equal to 115% of the higher of (i) the Market Value or (ii) the Newly Issued Price, and the $16.50 per share redemption trigger price described below will be adjusted (to the nearest cent) to be equal to 165%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Semnur may call the warrants for redemption (excluding the Private Placement Warrants), in whole and not in part, at a price of $0.01 per warrant: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60"/>
        <w:gridCol w:w="2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any time while the warrants are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if, and only if, the last reported sales price of the Common Stock equals or exceeds $16.50 per share (as adjusted for adjustments to the number of shares issuable upon exercise or the exercise price of a warrant), for any 20 trading days within a 30 trading day period ending on the third trading day prior to the date on which notice of redemption is given,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an effective registration statement covering the Common Stock issuable upon exercise of the Public Warrants, and a current prospectus relating thereto, available throughout the 30-day redemption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w:t>
      </w:r>
    </w:p>
    <w:p>
      <w:pPr>
        <w:pStyle w:val="TextBody"/>
        <w:bidi w:val="0"/>
        <w:spacing w:before="240" w:after="0"/>
        <w:jc w:val="left"/>
        <w:rPr>
          <w:rFonts w:ascii="Times New Roman" w:hAnsi="Times New Roman"/>
          <w:sz w:val="20"/>
        </w:rPr>
      </w:pPr>
      <w:r>
        <w:rPr>
          <w:rFonts w:ascii="Times New Roman" w:hAnsi="Times New Roman"/>
          <w:sz w:val="20"/>
        </w:rPr>
        <w:t xml:space="preserve">Semnur has established the last of the redemption criterion discussed above to prevent a redemption call unless there is at the time of the call a significant premium to the warrant exercise price. If the foregoing conditions are satisfied and Holdco issue a notice of redemption of the warrants, each warrant holder will be entitled to exercise his, her or its warrant prior to the scheduled redemption date. However, the price per share of Common Stock may fall below the $16.50 redemption trigger price (as adjusted for adjustments to the number of shares issuable upon exercise or the exercise price of a warrant) as well as the $11.50 (for whole shares)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sz w:val="20"/>
        </w:rPr>
        <w:t xml:space="preserve">If Semnur calls the warrants for redemption as described above, Semnur’s management has the option to require any holder that wishes to exercise its warrant to do so on a “cashless basis.” In such event, each holder would pay the exercise price by surrendering their warrants for that number of shares of Common Stock equal to the quotient obtained by dividing (x) the product of the number of shares of Common Stock underlying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multiplied by the excess of the “fair market value” (as defined below) less the exercise price of the warrants by (y) the fair market value. The “fair market value” shall mean the average volume weighted average last reported sale price of the Common Stock for the 10 trading day period ending on the third trading day prior to the date on which the notice of redemption is sent to the holders of warrants. For example, if a holder held a warrant to purchase 150 shares of Common Stock and the fair market value on the trading date prior to exercise was $15.00, that holder would receive 35 shares of Common Stock without the payment of any additional cash consideration. Whether we will exercise our option to require all holders to exercise their warrants on a “cashless basis” will depend on a variety of factors including the price of Common Stock at the time the warrants are called for redemption, our cash needs at such time and concerns regarding dilutive share issuances. Requiring a cashless exercise in this manner will reduce the number of shares of Common Stock to be issued and thereby lessen the dilutive effect of a warrant redemption. We believe this feature is an attractive option to use if we do not need the cash from the exercise of the Public Warrants. If Semnur’s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warrants were issued in registered form under the Warrant Agreement between VStock, as warrant agent, and us.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Placement Warrants), in order to make any change that adversely affects the interests of the registered holders.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and number of shares of Common Stock issuable on exercise of the warrants may be adjusted in certain circumstances including in the event of (i) an increase in the number of issued and outstanding shares of Common Stock by a capitalization or share dividend of the Common Stock or by a sub-division of the Common Stock or other similar event, (ii) an extraordinary dividend or (iii) a decrease in the number of issued and outstanding shares of Common Stock by consolidation, combination, reverse share split or reclassification of Common Stock or other similar event. However, no Common Stock shall be issued at less than their par value. Whenever the number of shares of Common Stock purchasable upon the exercise of the warrants is adjusted, the warrant exercise price will be adjusted (to the nearest cent) by multiplying such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issued and outstanding shares of Common Stock, or in the case of any merger or consolidation of Semnur with or into another corporation (other than a consolidation or merger in which Semnur is the continuing corporation and that does not result in any reclassification or reorganization of the issued and outstanding shares of Common Stock), or in the case of any sale or conveyance to another corporation or entity of the assets or other property of Semnur as an entirety or substantially as an entirety in connection with which Semnur is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warrants may be exercised, on or prior to the expiration date, by delivering to the warrant agent at its corporate trust department (i) the warrant certificate and (ii) an election to purchase any Common Stock pursuant to the exercise of a warrant, properly completed and executed by the warrant holder on the reverse of the warrant certificate, accompanied by full payment of the exercise price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of Common Stock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Public Warrants are exercisable or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Under the terms of the Warrant Agreement, we have agreed to use our commercially reasonable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settle the warrant exercise, the warrants may have no value, the market for the warrants may be limited and the warrants may expire worthless. In no event will we be required to net cash settle any warrant. </w:t>
      </w:r>
    </w:p>
    <w:p>
      <w:pPr>
        <w:pStyle w:val="TextBody"/>
        <w:bidi w:val="0"/>
        <w:spacing w:before="240" w:after="0"/>
        <w:jc w:val="left"/>
        <w:rPr>
          <w:rFonts w:ascii="Times New Roman" w:hAnsi="Times New Roman"/>
          <w:sz w:val="20"/>
        </w:rPr>
      </w:pPr>
      <w:r>
        <w:rPr>
          <w:rFonts w:ascii="Times New Roman" w:hAnsi="Times New Roman"/>
          <w:sz w:val="20"/>
        </w:rPr>
        <w:t xml:space="preserve">Warrant holders may elect to be subject to a restriction on the exercise of their warrants such that an electing warrant holder would not be able to exercise their warrants to the extent that, after giving effect to such exercise, such holder (together with such holder’s affiliates) would beneficially own in excess of 4.9 or 9.8% of the Common Stock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Private Warrants are identical to the Public Warrants underlying the Public Units except that such Private Warrants, including the Common Stock issuable upon exercise of the Private Warrants, may not be transferred, assigned or sold until 30 days after the closing of the Business Combination,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terms and conditions of the warrants does not purport to be complete and is qualified in its entirety by reference to the copy of the Warrant Agreement that is filed as an exhibit to the registration statement of which this prospectus forms a part.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Common Stock will be VStock. The transfer agent’s address is 18 Lafayette Place, Woodmere, New York 11598.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Common Stock and Public Warrants are quoted on the Pink Limited Market of the OTC Markets under the symbols “SMNR” and “SMNRW,”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63562_18"/>
      <w:bookmarkEnd w:id="19"/>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transactions since January 1, 2023 and any currently proposed transactions to which the Company or Legacy Semnur was or is to be a participant in which the amount involved exceeded or will exceed $120,000, and in which any of the Company’s or Legacy Semnur’s directors, executive officers or, to the Company’s or Legacy Semnur’s knowledge, beneficial owners of more than 5% of the Company’s or Legacy Semnur’s capital stock, or their immediate family members have had or will have a direct or indirect material interest, other than compensation and other arrangements that are described under the section of this prospectus titled “Executive and Director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 with Scilex </w:t>
      </w:r>
    </w:p>
    <w:p>
      <w:pPr>
        <w:pStyle w:val="TextBody"/>
        <w:bidi w:val="0"/>
        <w:spacing w:before="120" w:after="0"/>
        <w:jc w:val="left"/>
        <w:rPr>
          <w:rFonts w:ascii="Times New Roman" w:hAnsi="Times New Roman"/>
          <w:sz w:val="20"/>
        </w:rPr>
      </w:pPr>
      <w:r>
        <w:rPr>
          <w:rFonts w:ascii="Times New Roman" w:hAnsi="Times New Roman"/>
          <w:sz w:val="20"/>
        </w:rPr>
        <w:t xml:space="preserve">Prior to the Business Combination, Legacy Semnur was a majority owned subsidiary of Scilex. Following the Closing of the Business Combination, Scilex (together with certain of its subsidiaries) continues to beneficially own a significant percentage of our outstanding Common Stock. In connection with the Business Combination, Legacy Semnur and Scilex entered into certain agreements that relate to Legacy Semnur’s relationship with Scilex prior to the Business Combination and provides a framework for our ongoing relationship with Scilex.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2025, we entered into a transition services agreement with Scilex. Pursuant to this transition services agreement, Scilex agreed to provide, directly or indirectly, certain administrative, financial, legal, tax, insurance, facility, information technology and other services to Semnur. The total cost of services provided to Semnur shall not exceed $2.0 million per year, for a period of three years, unless terminated by either Scilex or Semnur.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on August 30, 2024, the Sponsor and each of Denali’s directors and executive officers entered into a Sponsor Support Agreement with Denali and Semnur, pursuant to which the Sponsor and each of Denali’s directors and executive officers has agreed to, among other things: (i) vote in favor of the Parent Shareholder Approval Matters (as defined in the Merger Agreement) and in favor of any proposal in respect of an Extension Amendment (as defined in the Merger Agreement); (ii) vote against (or otherwise withhold written consent of, as applicable) any “Business Combination” (as such term is defined in Denali’s organizational documents) or any proposal relating thereto (in each case, other than as contemplated by the Merger Agreement); (iii) vote against (or otherwise withhold written consent of, as applicable) any merger agreement or merger, consolidation, combination, sale of substantial assets, reorganization, recapitalization, dissolution, liquidation or winding up of or by Denali (other than the Merger Agreement and the transactions contemplated thereby); (iv) vote against (or otherwise withhold written consent of, as applicable) any change in the business, management or board of directors of Denali (other than in connection with the Merger Agreement and the transactions contemplated thereby); and (v) vote against (or otherwise withhold written consent of, as applicable) any proposal, action or agreement that would (a) impede, frustrate, prevent or nullify any provision of the Sponsor Support Agreement or the Merger Agreement or any of the transactions contemplated thereby, (b) result in a breach in any respect of any covenant, representation, warranty or any other obligation or agreement of Denali or Merger Sub under the Merger Agreement, (c) result in any of the conditions set forth in Article VIII of the Merger Agreement not being fulfilled or (d) change in any manner the dividend policy or capitalization of, including the voting rights of any class of capital stock of, Denali. Under the terms of the Sponsor Support Agreement, the Sponsor also agreed to certain standstill provisions with respect to the ordinary shares and other equity securities of Denali held by the Sponsor.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Stockholder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the Company, Legacy Semnur and Scilex (as the sole stockholder of Semnur) entered into a company stockholder support agreement (the “Stockholder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pursuant to which Scilex agreed to, among other things: (i) appear at any meeting of Semnur’s stockholders related to the transactions contemplated by the Merger Agreement, or otherwise cause its shares of Legacy Semnur common stock to be counted as present thereat for the purpose of establishing a quorum; (ii) vote (or execute and return an action by written consent), or cause to be voted at any such meeting of Legacy Semnur’s stockholders (or validly execute and return and cause such consent to be granted with respect to), all of its shares of Legacy Semnur common stock in favor of the Merger Agreement and the Business Combination; (iii) authorize and approve any amendment to Legacy Semnur’s certificate of incorporation or bylaws that is deemed necessary or advisable by Lgacy Semnur for purposes of effecting the Business Combination; and (iv) vote (or execute and return an action by written consent), or cause to be voted at any such meeting of Legacy Semnur’s stockholders (or validly execute and return and cause such consent to be granted with respect to), all of its shares of Legacy Semnur common stock against any other action that would reasonably be expected to (a) impede, interfere with, frustrate, delay, postpone or adversely affect the Business Combination, (b) result in a breach of any covenant, representation or warranty or other obligation or agreement of Semnur under the Merger Agreement or (c) result in a breach of any covenant, representation or warranty or other obligation or agreement of Scilex contained in the Stockholder Support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Interest Purchase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execution and delivery of the Merger Agreement, the Sponsor and Scilex entered into the SIPA. Pursuant to the SIPA, Scilex purchased 500,000 Denali Class B Ordinary Shares (the “Purchased Interests”), of Denali that were held by the Sponsor. The aggregate consideration for the purchase and sale of the Purchased Interests is as follows: (i) $2,000,000 (the “Cash Consideration”), and (ii) 300,000 shares of common stock of Scilex (which number of shares was adjusted to 8,571 shares to reflect the reverse stock split of Scilex common stock that was effected on April 15, 2025) (such number of shares, as adjusted the “Sponsor SIPA Shares”). Pursuant to the SIPA, Scilex paid the Cash Consideration and agreed to issue the Scilex Shares to the Sponsor contingent upon and following the occurrence of the Effective Time. The Purchased Interests converted automatically, on a one-for-one basis, into shares of Common Stock at the effective time of the Domestication pursuant to the terms of the Merger Agreement. On September 22, 2025, the requirement to deliver the Scilex Shares was discharged pursuant to that certain Satisfaction and Discharge Agreement. For more information, see the section of this prospectus titled “</w:t>
      </w:r>
      <w:r>
        <w:rPr>
          <w:rFonts w:ascii="Times New Roman" w:hAnsi="Times New Roman"/>
          <w:i/>
          <w:sz w:val="20"/>
        </w:rPr>
        <w:t>Certain Relationships and Related Party Transactions—Satisfaction and Discharge Agreement with Scilex and Sponsor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Promissory Notes </w:t>
      </w:r>
    </w:p>
    <w:p>
      <w:pPr>
        <w:pStyle w:val="TextBody"/>
        <w:bidi w:val="0"/>
        <w:spacing w:before="120" w:after="0"/>
        <w:jc w:val="left"/>
        <w:rPr>
          <w:rFonts w:ascii="Times New Roman" w:hAnsi="Times New Roman"/>
          <w:sz w:val="20"/>
        </w:rPr>
      </w:pPr>
      <w:r>
        <w:rPr>
          <w:rFonts w:ascii="Times New Roman" w:hAnsi="Times New Roman"/>
          <w:sz w:val="20"/>
        </w:rPr>
        <w:t xml:space="preserve">On April 11, 2023, Denali issued the Sponsor Convertible Promissory Note with an initial principal balance of $412,500 (the “Initial Principal Amount”), with the remaining $412,500 drawable at Denali’s request prior to the maturity of the Sponsor Convertible Promissory Note. The Sponsor Convertible Promissory Note bears an interest equivalent to the lowest short-term Applicable Federal Rate and matures upon the earlier of (i) the closing of Denali’s initial business combination and (ii) the date of the liquidation of Denali (the “Sponsor Convertible Promissory Note Maturity Date”). Upon the consummation of the Business Combination, the Sponsor Convertible Promissory Note was convertible, at the option of the Sponsor, into additional Denali Class A Ordinary Shares of Denali, at a conversion price of $10.00 per share (the “Conversion Shares”). The terms of the Conversion Shares will be identical to those of the Denali Private Placement Shares underlying the Denali Private Placement Units issued to the Sponsor in connection with the IPO. </w:t>
      </w:r>
    </w:p>
    <w:p>
      <w:pPr>
        <w:pStyle w:val="TextBody"/>
        <w:bidi w:val="0"/>
        <w:spacing w:before="240" w:after="0"/>
        <w:jc w:val="left"/>
        <w:rPr>
          <w:rFonts w:ascii="Times New Roman" w:hAnsi="Times New Roman"/>
          <w:sz w:val="20"/>
        </w:rPr>
      </w:pPr>
      <w:r>
        <w:rPr>
          <w:rFonts w:ascii="Times New Roman" w:hAnsi="Times New Roman"/>
          <w:sz w:val="20"/>
        </w:rPr>
        <w:t xml:space="preserve">On July 18, 2023, the Sponsor lent another $80,000 to Denali, resulting in the principal amount of the Sponsor Convertible Promissory Note being increased to $492,500.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the Sponsor lent another $150,000 to Denali, resulting in the principal amount of the Sponsor Convertible Promissory Note being increased to $642,500. </w:t>
      </w:r>
    </w:p>
    <w:p>
      <w:pPr>
        <w:pStyle w:val="TextBody"/>
        <w:bidi w:val="0"/>
        <w:spacing w:before="240" w:after="0"/>
        <w:jc w:val="left"/>
        <w:rPr>
          <w:rFonts w:ascii="Times New Roman" w:hAnsi="Times New Roman"/>
          <w:sz w:val="20"/>
        </w:rPr>
      </w:pPr>
      <w:r>
        <w:rPr>
          <w:rFonts w:ascii="Times New Roman" w:hAnsi="Times New Roman"/>
          <w:sz w:val="20"/>
        </w:rPr>
        <w:t xml:space="preserve">On December 29, 2023, Denali and the Sponsor agreed that, in addition to the Initial Principal Amount, Denali may request an additional aggregate amount of up to $157,500, which may be drawn down in one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tranches at any time prior to the Sponsor Convertible Promissory Note Maturity Date, raising the total limit up to $1,000,000. On April 2, 2024, Denali and Sponsor agreed that, in addition to the Initial Principal Amount, the Company may request an additional aggregate amount of up to $186,800, which may be drawn down in one or more tranches at any time prior to the maturity date, raising the total limit up to $1,200,000. On January 27, 2025, Denali and Sponsor agreed that, in addition to the Initial Principal Amount, Denali may request an additional aggregate amount of up to $591,800, which may be drawn down in one or more tranches at any time prior to the maturity date, raising the total limit up to $2,000,000. As of March 31, 2025, there was an amount of $1,523,237 outstanding under Working Capital Loans in the form of the Sponsor Convertible Promissory Note and Sponsor Extension Convertible Promissory Note issued to the Sponsor. </w:t>
      </w:r>
    </w:p>
    <w:p>
      <w:pPr>
        <w:pStyle w:val="TextBody"/>
        <w:bidi w:val="0"/>
        <w:spacing w:before="240" w:after="0"/>
        <w:jc w:val="left"/>
        <w:rPr>
          <w:rFonts w:ascii="Times New Roman" w:hAnsi="Times New Roman"/>
          <w:sz w:val="20"/>
        </w:rPr>
      </w:pPr>
      <w:r>
        <w:rPr>
          <w:rFonts w:ascii="Times New Roman" w:hAnsi="Times New Roman"/>
          <w:sz w:val="20"/>
        </w:rPr>
        <w:t xml:space="preserve">On July 10, 2024, Denali issued a convertible promissory note in the total principal amount of up to $180,000 to the Sponsor. The Sponsor Extension Convertible Promissory Note was issued with an initial principal balance of $15,037, with the remaining $164,963 drawable at the Company’s request and upon the consent of the Sponsor prior to the maturity of the Sponsor Extension Convertible Promissory Note. The Sponsor Extension Convertible Promissory Note matured upon the effective date of the consummation of the Company’s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 with the consummation of the Business Combination, Denali and Scilex entered into the Registration Rights Agreement with the other stockholders named therein. The Registration Rights Agreement governs, among other things, the registration of certain shares of Common Stock for resale and be effective as of the Closing, and includes certain customary demand and “piggy-back” registration rights with respect to shares of Common Stock held by the parties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Agreement with Scilex </w:t>
      </w:r>
    </w:p>
    <w:p>
      <w:pPr>
        <w:pStyle w:val="TextBody"/>
        <w:bidi w:val="0"/>
        <w:spacing w:before="120" w:after="0"/>
        <w:jc w:val="left"/>
        <w:rPr>
          <w:rFonts w:ascii="Times New Roman" w:hAnsi="Times New Roman"/>
          <w:sz w:val="20"/>
        </w:rPr>
      </w:pPr>
      <w:r>
        <w:rPr>
          <w:rFonts w:ascii="Times New Roman" w:hAnsi="Times New Roman"/>
          <w:sz w:val="20"/>
        </w:rPr>
        <w:t xml:space="preserve">On August 30, 2024, Denali entered into the Stockholder Agreement with Scilex. Pursuant to the terms of the Stockholder Agreement (and subject to certain rights of Oramed), from and after the Effective Time, and for so long as Scilex beneficially owns any shares of Series A Preferred Stock, among other things, (i) Scilex shall have the right, but not the obligation, to designate a Stockholder Designee or Stockholder Designees, regardless of (a) whether such Stockholder Designee is to be elected to the Board at a meeting of stockholders called for the purpose of electing directors (or by consent in lieu of meeting) or appointed by the Board in order to fill any vacancy created by the departure of any director or increase in the authorized number of members of the Board or (b) the size of the Board and (ii) Semnur will be required to take all actions reasonably necessary, and not otherwise prohibited by applicable law, to cause each Stockholder Designee to be so nominated, elected or appointed to the Board as more fully described in the Stockholder Agreement. Scilex will also have the right to designate a replacement director for any Stockholder Designee that has been removed from the Board and the right to appoint a representative of Scilex to attend all meetings of the committees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Agreement also provides that following the Closing, Semnur shall not, and shall cause its subsidiaries not to, among others, without the prior written consent of Scilex: (i) amend, alter, modify or repeal (whether by merger, consolidation, by operation of law or otherwise) any provisions of the Proposal Charter (including the Certificate of Designations) or the Bylaws that increase or decrease the authorized number of directors constituting the Board; (ii) take any action that would have the effect of increasing or decreasing the number of directors constituting the Board; (iii) amend, alter, modify or repeal (whether by merger, consolidation, reclassification, by operation of law or otherwise) any provisions of the respective charters (and any related organizational documents) of any of the committees of the Board; (iv) file any voluntary petition under any applicable federal or state bankruptcy or insolvency law on behalf of Semnur or any of its subsidiaries; (v) (A) incur or permit any of Semnur’s subsidiaries to incur any indebtedness in an aggregate principal amount in excess of $10,000,000) (with “principal amount” for purposes of this definition to include undrawn committed or available amounts) or (B) enter into, modify, amend or renew (or permit any of its subsidiaries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modify, amend or renew) any contract or other agreement in respect of indebtedness in an aggregate principal amount in excess of $10,000,000 (with “principal amount” for purposes of this definition to include undrawn committed or available amounts); (vi) consummate or otherwise enter into any other contract or agreement to effect any change of control, joint venture or corporate reorganization by Semnur or any of its subsidiaries; (vii) declare or pay any dividend or distribution on Common Stock, other Junior Security (as defined below) or Parity Security (as defined below); or (viii) purchase, redeem or otherwise acquire for consideration by Semnur, directly or indirectly, any Common Stock, other Junior Security or Parity Security (except as necessary to effect (A) a reclassification of any Junior Security for or into other Junior Securities, (B) a reclassification of any Parity Security for or into other Parity Securities with the same or lesser aggregate liquidation preference, (C) a reclassification of any Parity Security into a Junior Security, (D) the exchange or conversion of any Junior Security for or into another Junior Security, (E) the exchange or conversion of any Parity Security for or into another Parity Security with the same or lesser per share liquidation amount, (F) the exchange or conversion of any Parity Security for or into any Junior Security or (G) the settlement of incentive equity awards (including any applicable withholdings and the net exercise of options) in accordance with the terms thereof). The Series A Preferred Stock ranks (i) senior to all Common Stock and to the Junior Securities; and (ii) on parity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Stockholder Agreement provides that Semnur will be prohibited from taking certain actions without the consent of Oramed (but only until the Release Date). The actions that require Oramed’s consent include, among other things, (i) amending certain agreements, including the Stockholder Agreement, the Merger Agreement, Semnur’s certificate of incorporation or bylaws, Semnur’s 2024 Stock Option Plan, the Company Stockholder Support Agreement, dated as of August 30, 2024, by and among Scilex, Semnur and Denali, and the Debt Exchange Agreement, in each case that adversely affect the rights of capital stock held by Scilex in Semnur, (ii) approving of the issuance of capital stock of Semnur that would result in Scilex holding less than 55% of the outstanding shares or voting power of Semnur, (iii) forming any subsidiary that is not wholly owned and controlled by Semnur, (iv) permitting any option grants to Scilex Insiders (as defined therein) pursuant to Semnur’s 2024 Stock Option Plan prior to the execution of the Merger Agreement to be exercisable or (v) permitting certain compensation payments to Scilex Insiders (as defined therein).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Agreement will terminate and be of no further force and effect upon the earlier of (i) termination of the Merger Agreement in accordance with its terms, (ii) mutual written agreement of the parties thereto and (iii) following the issuance of the Series A Preferred Stock to Scilex pursuant to the Merger Agreement, the date upon which Scilex (together with its affiliates, subsidiaries, successors and assigns (other than the Company and its subsidiaries)) ceases to own any shares of Series A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Exchange Agreement and Related Matters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on August 30, 2024 Scilex and Semnur entered into the Debt Exchange Agreement. The Debt Exchange Agreement relates to the Outstanding Indebtedness, for certain loans and other amounts provided by Scilex to Semnur prior to the Closing. The Outstanding Indebtedness as of March 31, 2025 was $50,754,784, but will not exceed $60,000,000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Debt Exchange Agreement, Scilex agreed to contribute the Outstanding Indebtedness (as set forth in the Debt Exchange Agreement) to Semnur in exchange for the issuance by Semnur to Scilex of shares that are equal to (a) the sum of the aggregate amount of the Outstanding Indebtedness and the amount that is equal to 10% of such aggregate amount of the Outstanding Indebtedness divided by (b) $11.00 (rounded up to the nearest whole share) (the “Exchange Shares”). Further, pursuant to the Debt Exchange Agreement, prior to the Contribution, Semnur agreed to file, with the Secretary of State of the State of Delaware, a certificate of designations, in the form agreed in the Debt Exchange Agreement, to set forth the designations, powers, rights and preferences and qualifications, limitations and restrictions of the Series A Preferred Stock. Upon the occurrence of the Contribution and issuance of the shares of Series A Preferred Stock to Scilex, the Outstanding Indebtedness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Semnur owed to Scilex shall be extinguished in its entirety and shall be of no further force or effect and shall be deemed paid and satisfied in full and irrevocably and automatically discharged, terminated and released.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the Business Combination, the aggregate outstanding amount was $54,236,058.00. The aggregate number of shares of Series A Preferred Stock issued to Scilex prior to the Effective Time pursuant to the Debt Exchange Agreement was 5,423,606 shares. At the Effective Time such shares were exchanged for 5,423,606 shares of Series A Preferred Stock and 542,361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Oramed Note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Scilex entered into, and consummated the transactions contemplated by, the Scilex- Oramed SPA with Oramed, pursuant to which, among other things, Scilex issued to Oramed the Oramed Note. The Oramed Note matures on March 21, 2025. It is payable in six principal installments, with the first installment of $5,000,000 payable on December 21, 2023, the second installment in the principal amount of $15,000,000 payable on March 21, 2024, the next three installments each in the principal amount of $20,000,000 payable on each of June 21, 2024, September 21, 2024 and December 21, 2024 and the last installment in the entire remaining principal balance of the Oramed Note payable on March 21, 2025. Interest under the Oramed Note accrues at a fluctuating per annum interest rate equal to the sum of (1) greater of (x) 4% and (y) Term SOFR (as defined in the Oramed Note) and (2) 8.5%, payable in-kind on a monthly basis. Pursuant to the Oramed Note, if the outstanding principal has not been fully repaid by March 21, 2024, an exit fee of approximately $3.1 million becomes due upon repayment. Upon the occurrence and during the continuance of an event of default under the Oramed Note, holders of more than 50% of the aggregate unpaid principal amount of the Oramed Notes may elect to accrue interest at a default rate equal to the lesser of (i) Term SOFR plus 15% or (ii) the maximum rate permitted under applicable law. Voluntary prepayments made before the one-year anniversary of the closing date of the Scilex-Oramed SPA must include a make-whole amount equal to 50% of the additional interest that would accrue on the principal amount so prepaid from the date of such prepayment through and including the maturity date. If the Oramed Note is accelerated upon an event of default, repayment is required at a mandatory default rate of 125% of the principal amount (together with 100% of accrued and unpaid interest thereon and all other amounts due in respect of the Oramed Note). The Oramed Note contains mandatory prepayment provisions requiring use of 70% of net cash proceeds from any Cash Sweep Financing (as defined in the Oramed Note) or advances under the ELOCs (as defined in the Oramed Note) to prepay the outstanding principal after the earlier of April 1, 2024 or full repayment of Acceptable Indebtedness (as defined in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The Oramed Note contains affirmative and negative covenants binding on Scilex and its subsidiaries, which includes Semnur, which restrict, among other things, Scilex and its subsidiaries (including Semnur),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exceptions, and “baskets” set forth in the Oramed Note. As of December 31, 2024, the outstanding principal amount, as well as the accrued interest and fees, of the Oramed Note was $24,955,634, with the remaining amount due on March 21, 2025, which maturity date was extended to December 31, 2025 pursuant to an amendment letter Scilex entered into with Oramed, dated as of January 21, 2025.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2023, in connection with the Scilex-Oramed SPA, Scilex and each of its Guarantors entered into the Subsidiary Guarantee with Oramed (together with its successors and permitted assigns, the “Holder”) and the Agent, pursuant to which, the Guarantors have agreed to guarantee and act as surety for payment of the Oramed Note and any additional notes issued by Scilex after the closing date of the transactions contemplated by the Scilex-Oramed SPA in full or partial substitution of the Oramed Note (the “Additional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21, 2023, Scilex and the Guarantors entered into a security agreement (the “Security Agreement”) with the Holder and the Agent, pursuant to which Scilex and the Guarantors granted to the Agent (on behalf of and for the benefit of the holders of the Oramed Note and any Additional Notes) a security interest in all or substantially all of Scilex’s and each Guarantor’s property, respectively, to secure the prompt payment, performance and discharge in full of all of Scilex’s obligations under the Oramed Note and Additional Notes and the Guarantors’ obligations under the Subsidiary Guarantee, subject to certain customary limitations. The Security Agreement contains certain customary representations, warranties and covenants regarding the collateral thereunder, in each case as more fully set forth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In October 2024, Scilex and Oramed agreed, among other things, that from and after the consummation of the Business Combination, neither Semnur nor Denali shall be required to guarantee or otherwise grant security for any Transaction Documents (as defined in the Scilex-Oramed SPA, and including the Scilex-Oramed SPA, the Security Agreement and the Subsidiary Agreement). Scilex and Oramed further agreed that on the Closing Date, all security interests and liens with respect to the assets and property of Semnur granted or created under the Transaction Documents shall be deemed to be released, discharged and terminated. As of the date of this filing, Semnur is not a Guarantor under the Subsidiary Guarantee and the Security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Satisfaction and Discharge Agreement with Scilex and Sponsor </w:t>
      </w:r>
    </w:p>
    <w:p>
      <w:pPr>
        <w:pStyle w:val="TextBody"/>
        <w:bidi w:val="0"/>
        <w:spacing w:before="120" w:after="0"/>
        <w:jc w:val="left"/>
        <w:rPr>
          <w:rFonts w:ascii="Times New Roman" w:hAnsi="Times New Roman"/>
          <w:sz w:val="20"/>
        </w:rPr>
      </w:pPr>
      <w:r>
        <w:rPr>
          <w:rFonts w:ascii="Times New Roman" w:hAnsi="Times New Roman"/>
          <w:sz w:val="20"/>
        </w:rPr>
        <w:t xml:space="preserve">On April 11, 2023, Denali issued the Sponsor Convertible Promissory Note, as amended, to the Sponsor. Pursuant to the Sponsor Convertible Note, upon consummation of the Business Combination, Denali was obligated to pay the Sponsor $1,806,366.78, comprised of the outstanding principal amount of the Convertible Promissory Note and accrued but unpaid interest (the “Sponsor Outstanding Balance”). </w:t>
      </w:r>
    </w:p>
    <w:p>
      <w:pPr>
        <w:pStyle w:val="TextBody"/>
        <w:bidi w:val="0"/>
        <w:spacing w:before="240" w:after="0"/>
        <w:jc w:val="left"/>
        <w:rPr>
          <w:rFonts w:ascii="Times New Roman" w:hAnsi="Times New Roman"/>
          <w:sz w:val="20"/>
        </w:rPr>
      </w:pPr>
      <w:r>
        <w:rPr>
          <w:rFonts w:ascii="Times New Roman" w:hAnsi="Times New Roman"/>
          <w:sz w:val="20"/>
        </w:rPr>
        <w:t xml:space="preserve">Also as previously disclosed, on August 30, 2025, Scilex and the Sponsor entered into the SIPA, pursuant to which Scilex agreed to purchase certain shares of Denali that were held by the Sponsor for $2,000,000 and 300,000 shares of common stock of Scilex with such cash consideration being paid on the date of entry into the SIPA and the Sponsor SIPA Shares to be delivered to Sponsor upon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prior to the Closing, Scilex had advanced $69,973 to the Sponsor (the “Cash Advance”).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2025, Denali, Sponsor and Scilex entered a Satisfaction and Discharge of Indebtedness Agreement (the “Sponsor Agreement”), pursuant to which the parties agreed that the repayment of the Cash Advance was settled as a net reduction in the payments owed to Sponsor by New Semnur on the Closing Date. On the Closing Date, the Sponsor received $1,143,959.16 in cash (representing a $1,000,000 payment toward the Sponsor Outstanding Balance and a $213,932.16 payment in lieu of the Sponsor SIPA Shares, net of the repayment of the Cash Advance) and a promissory note issued by New Semnur in the amount of $806,366.78 (the “Sponsor Note”). The Sponsor Note shall be payable in six monthly installments of approximately $134,394.46 beginning on October 1, 2025. Notwithstanding the foregoing payment schedule, the balance due on such note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 In addition, in the case of an event of default, Sponsor Note shall bear interest at a rate of 10% per annum until such event of default is cured. The Sponsor Note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and Director Compensation </w:t>
      </w:r>
    </w:p>
    <w:p>
      <w:pPr>
        <w:pStyle w:val="TextBody"/>
        <w:bidi w:val="0"/>
        <w:spacing w:before="120" w:after="0"/>
        <w:jc w:val="left"/>
        <w:rPr>
          <w:rFonts w:ascii="Times New Roman" w:hAnsi="Times New Roman"/>
          <w:sz w:val="20"/>
        </w:rPr>
      </w:pPr>
      <w:r>
        <w:rPr>
          <w:rFonts w:ascii="Times New Roman" w:hAnsi="Times New Roman"/>
          <w:sz w:val="20"/>
        </w:rPr>
        <w:t>Please see the section of this prospectus titled “</w:t>
      </w:r>
      <w:r>
        <w:rPr>
          <w:rFonts w:ascii="Times New Roman" w:hAnsi="Times New Roman"/>
          <w:i/>
          <w:sz w:val="20"/>
        </w:rPr>
        <w:t>Executive and Director Compensation</w:t>
      </w:r>
      <w:r>
        <w:rPr>
          <w:rFonts w:ascii="Times New Roman" w:hAnsi="Times New Roman"/>
          <w:sz w:val="20"/>
        </w:rPr>
        <w:t xml:space="preserve">” for information regarding the compensation of Semnur’s executive officers and non-employee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Please see the section of this prospectus titled “</w:t>
      </w:r>
      <w:r>
        <w:rPr>
          <w:rFonts w:ascii="Times New Roman" w:hAnsi="Times New Roman"/>
          <w:i/>
          <w:sz w:val="20"/>
        </w:rPr>
        <w:t>Directors and Executive Officers — Limitation of Liability and Indemnification of Directors and Officers</w:t>
      </w:r>
      <w:r>
        <w:rPr>
          <w:rFonts w:ascii="Times New Roman" w:hAnsi="Times New Roman"/>
          <w:sz w:val="20"/>
        </w:rPr>
        <w:t xml:space="preserve">” for information regarding Semnur’s arrangements to provide indemnification to its officers and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Semnur has adopted a related person transaction policy that sets forth its procedures for the identification, review, consideration and approval or ratification of related person transactions. For purposes of Semnur’s policy only, a related person transaction is a transaction, arrangement or relationship, or any series of similar transactions, arrangements or relationships, in which Semnur and any related person are, were or will be participants in which the amount involved exceeds $120,000. Transactions involving compensation for services provided to Semnur as an employee or director are not covered by this policy. A related person is any executive officer, director or beneficial owner of more than 5% of any class of Semnur’s voting securities and any of their respective immediate family members and any entity owned or controlled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Semnur’s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Semnur of the transaction and whether the transaction is on terms that are comparable to the terms available to or from, as the case may be, an unrelated third party or to or from employees generally. Under the policy, Semnur will collect information that Semnur deems reasonably necessary from each director, executive officer and, to the extent feasible, significant stockholder to enable Semnur to identify any existing or potential related- person transactions and to effectuate the terms of the policy. In addition, under Semnur’s code of conduct and ethics, Semnur’s employees and directors have an affirmative responsibility to disclose any transaction or relationship that reasonably could be expected to give rise to a conflict of interest. In considering related person transactions, Semnur’s Audit Committee, or other independent body of the Board, will take into account the relevant available facts and circumstances including, but not limited to: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costs and benefits to Semnur;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 director’s independence in the event that the related person is a director, immediate family member of a director or an entity with which a director is affiliated;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other sources for comparable services or products; and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available to or from, as the case may be, unrelated third parties or to or from employees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requires that, in determining whether to approve, ratify or reject a related person transaction, Semnur’s Audit Committee, or other independent body of the Board, must consider, in light of known circumstances, whether the transaction is in, or is not inconsistent with, Semnur’s best interests and those of Semnur’s stockholders, as Semnur’s Audit Committee, or other independent body of the Board, determines in the good faith exercise of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63562_19"/>
      <w:bookmarkEnd w:id="2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by this prospectus will be passed upon for us by Paul Hastings LLP, Palo Alto, California. </w:t>
      </w:r>
    </w:p>
    <w:p>
      <w:pPr>
        <w:pStyle w:val="TextBody"/>
        <w:bidi w:val="0"/>
        <w:spacing w:before="240" w:after="0"/>
        <w:jc w:val="center"/>
        <w:rPr>
          <w:rFonts w:ascii="Times New Roman" w:hAnsi="Times New Roman"/>
          <w:b/>
          <w:sz w:val="20"/>
        </w:rPr>
      </w:pPr>
      <w:bookmarkStart w:id="21" w:name="tx63562_20"/>
      <w:bookmarkEnd w:id="2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Semnur Pharmaceuticals, Inc. as of December 31, 2024 and 2023, and for the years then ended, included in this prospectus have been audited by Pipara &amp; Co LLP, an independent registered public accounting firm, as stated in their report (which report expresses an unqualified opinion and includes explanatory paragraphs relating to a going concern uncertainty and the use of a carve-out basis of accounting discussed in Notes 1 and 2), which is included herein. Such financial statements are included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63562_22"/>
      <w:bookmarkEnd w:id="22"/>
      <w:r>
        <w:rPr>
          <w:rFonts w:ascii="Times New Roman" w:hAnsi="Times New Roman"/>
          <w:b/>
          <w:sz w:val="20"/>
        </w:rPr>
        <w:t xml:space="preserve">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for our securities is VStock. </w:t>
      </w:r>
    </w:p>
    <w:p>
      <w:pPr>
        <w:pStyle w:val="TextBody"/>
        <w:bidi w:val="0"/>
        <w:spacing w:before="480" w:after="0"/>
        <w:jc w:val="center"/>
        <w:rPr>
          <w:rFonts w:ascii="Times New Roman" w:hAnsi="Times New Roman"/>
          <w:b/>
          <w:sz w:val="20"/>
        </w:rPr>
      </w:pPr>
      <w:bookmarkStart w:id="23" w:name="tx63562_23"/>
      <w:bookmarkEnd w:id="2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S-1,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of which this prospectus is a part and the exhibits to such registration statement. The descriptions in this prospectus of the provisions of documents filed as exhibits to this prospectus are only summaries of those documents’ material terms. You can read copies of such documents, along with copies of reports, proxy statements and other information filed by us with the SEC at the SEC’s website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www.semnurpharma.com</w:t>
      </w:r>
      <w:r>
        <w:rPr>
          <w:rFonts w:ascii="Times New Roman" w:hAnsi="Times New Roman"/>
          <w:sz w:val="20"/>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INDEX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SEMNUR PHARMACEUTICALS, INC. </w:t>
      </w:r>
    </w:p>
    <w:p>
      <w:pPr>
        <w:pStyle w:val="TextBody"/>
        <w:bidi w:val="0"/>
        <w:spacing w:before="0" w:after="0"/>
        <w:jc w:val="left"/>
        <w:rPr>
          <w:spacing w:val="0"/>
        </w:rPr>
      </w:pPr>
      <w:r>
        <w:rPr>
          <w:spacing w:val="0"/>
        </w:rPr>
        <w:t> </w:t>
      </w:r>
    </w:p>
    <w:tbl>
      <w:tblPr>
        <w:tblW w:w="10120" w:type="dxa"/>
        <w:jc w:val="left"/>
        <w:tblInd w:w="0" w:type="dxa"/>
        <w:tblLayout w:type="fixed"/>
        <w:tblCellMar>
          <w:top w:w="0" w:type="dxa"/>
          <w:left w:w="0" w:type="dxa"/>
          <w:bottom w:w="0" w:type="dxa"/>
          <w:right w:w="0" w:type="dxa"/>
        </w:tblCellMar>
      </w:tblPr>
      <w:tblGrid>
        <w:gridCol w:w="9395"/>
        <w:gridCol w:w="120"/>
        <w:gridCol w:w="60"/>
        <w:gridCol w:w="470"/>
        <w:gridCol w:w="75"/>
      </w:tblGrid>
      <w:tr>
        <w:trPr/>
        <w:tc>
          <w:tcPr>
            <w:tcW w:w="9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95" w:type="dxa"/>
            <w:tcBorders/>
            <w:vAlign w:val="center"/>
          </w:tcPr>
          <w:p>
            <w:pPr>
              <w:pStyle w:val="TableContents"/>
              <w:bidi w:val="0"/>
              <w:spacing w:before="0" w:after="0"/>
              <w:jc w:val="left"/>
              <w:rPr/>
            </w:pPr>
            <w:hyperlink w:anchor="fin63562_13">
              <w:r>
                <w:rPr>
                  <w:rStyle w:val="InternetLink"/>
                  <w:rFonts w:ascii="Times New Roman" w:hAnsi="Times New Roman"/>
                  <w:spacing w:val="0"/>
                  <w:sz w:val="20"/>
                </w:rPr>
                <w:t>Report of Independent Registered Public Accounting Firm (PCAOB ID Number 6841)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F-2</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14">
              <w:r>
                <w:rPr>
                  <w:rStyle w:val="InternetLink"/>
                  <w:rFonts w:ascii="Times New Roman" w:hAnsi="Times New Roman"/>
                  <w:spacing w:val="0"/>
                  <w:sz w:val="20"/>
                </w:rPr>
                <w:t>Balance Sheets as of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F-4</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15">
              <w:r>
                <w:rPr>
                  <w:rStyle w:val="InternetLink"/>
                  <w:rFonts w:ascii="Times New Roman" w:hAnsi="Times New Roman"/>
                  <w:spacing w:val="0"/>
                  <w:sz w:val="20"/>
                </w:rPr>
                <w:t>Statements of Operations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F-5</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16">
              <w:r>
                <w:rPr>
                  <w:rStyle w:val="InternetLink"/>
                  <w:rFonts w:ascii="Times New Roman" w:hAnsi="Times New Roman"/>
                  <w:spacing w:val="0"/>
                  <w:sz w:val="20"/>
                </w:rPr>
                <w:t>Statements of Stockholders’ Deficit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F-6</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17">
              <w:r>
                <w:rPr>
                  <w:rStyle w:val="InternetLink"/>
                  <w:rFonts w:ascii="Times New Roman" w:hAnsi="Times New Roman"/>
                  <w:spacing w:val="0"/>
                  <w:sz w:val="20"/>
                </w:rPr>
                <w:t>Statements of Cash Flows for the years ended December 31, 2024 and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F-7</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18">
              <w:r>
                <w:rPr>
                  <w:rStyle w:val="InternetLink"/>
                  <w:rFonts w:ascii="Times New Roman" w:hAnsi="Times New Roman"/>
                  <w:spacing w:val="0"/>
                  <w:sz w:val="20"/>
                </w:rPr>
                <w:t>Notes to the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F-8</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UNAUDITED CONDENSED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95" w:type="dxa"/>
            <w:tcBorders/>
            <w:vAlign w:val="center"/>
          </w:tcPr>
          <w:p>
            <w:pPr>
              <w:pStyle w:val="TableContents"/>
              <w:bidi w:val="0"/>
              <w:spacing w:before="0" w:after="0"/>
              <w:jc w:val="left"/>
              <w:rPr/>
            </w:pPr>
            <w:hyperlink w:anchor="fin63562_19">
              <w:r>
                <w:rPr>
                  <w:rStyle w:val="InternetLink"/>
                  <w:rFonts w:ascii="Times New Roman" w:hAnsi="Times New Roman"/>
                  <w:spacing w:val="0"/>
                  <w:sz w:val="20"/>
                </w:rPr>
                <w:t>Unaudited Condensed Balance Sheets as of September 30, 2025 and December 31,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F-24</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20">
              <w:r>
                <w:rPr>
                  <w:rStyle w:val="InternetLink"/>
                  <w:rFonts w:ascii="Times New Roman" w:hAnsi="Times New Roman"/>
                  <w:spacing w:val="0"/>
                  <w:sz w:val="20"/>
                </w:rPr>
                <w:t>Unaudited Condensed Statements of Operations for the nine months ended September 30,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F-25</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21">
              <w:r>
                <w:rPr>
                  <w:rStyle w:val="InternetLink"/>
                  <w:rFonts w:ascii="Times New Roman" w:hAnsi="Times New Roman"/>
                  <w:spacing w:val="0"/>
                  <w:sz w:val="20"/>
                </w:rPr>
                <w:t>Unaudited Condensed Statements of Stockholders’ Deficit for the nine months ended September 30,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F-26</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22">
              <w:r>
                <w:rPr>
                  <w:rStyle w:val="InternetLink"/>
                  <w:rFonts w:ascii="Times New Roman" w:hAnsi="Times New Roman"/>
                  <w:spacing w:val="0"/>
                  <w:sz w:val="20"/>
                </w:rPr>
                <w:t>Unaudited Condensed Statements of Cash Flows for the nine months ended September 30, 2025 and 2024</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F-27</w:t>
            </w:r>
          </w:p>
        </w:tc>
        <w:tc>
          <w:tcPr>
            <w:tcW w:w="75" w:type="dxa"/>
            <w:tcBorders/>
            <w:vAlign w:val="center"/>
          </w:tcPr>
          <w:p>
            <w:pPr>
              <w:pStyle w:val="TableContents"/>
              <w:bidi w:val="0"/>
              <w:spacing w:before="0" w:after="283"/>
              <w:jc w:val="left"/>
              <w:rPr/>
            </w:pPr>
            <w:r>
              <w:rPr/>
              <w:t> </w:t>
            </w:r>
          </w:p>
        </w:tc>
      </w:tr>
      <w:tr>
        <w:trPr/>
        <w:tc>
          <w:tcPr>
            <w:tcW w:w="9395" w:type="dxa"/>
            <w:tcBorders/>
            <w:vAlign w:val="center"/>
          </w:tcPr>
          <w:p>
            <w:pPr>
              <w:pStyle w:val="TableContents"/>
              <w:bidi w:val="0"/>
              <w:spacing w:before="0" w:after="0"/>
              <w:jc w:val="left"/>
              <w:rPr/>
            </w:pPr>
            <w:hyperlink w:anchor="fin63562_23">
              <w:r>
                <w:rPr>
                  <w:rStyle w:val="InternetLink"/>
                  <w:rFonts w:ascii="Times New Roman" w:hAnsi="Times New Roman"/>
                  <w:spacing w:val="0"/>
                  <w:sz w:val="20"/>
                </w:rPr>
                <w:t>Notes to the Unaudited Condensed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pPr>
            <w:r>
              <w:rPr/>
              <w:t>F-28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Stockholders and the Board of Directors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of Semnur Pharmaceuticals,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balance sheets of Semnur Pharmaceuticals, Inc. (“Semnur”) (the “Company”) as of December 31, 2024 and 2023, the related statements of operations, stockholders’ (deficit) equity and cash flows for the periods ended December 31, 2024 and 2023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periods ended December 31, 2024 and 2023, in conformity with accounting principles generally accepted in the United States of America.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Company’s Ability to Continue as a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financial statements have been prepared assuming that the Company will continue as a going concern. As discussed in Note 2 to the financial statements, the Company has negative working capital, has suffered losses from operations, has recurring negative cash flows from operations, dependence upon the support from its parent, Scilex Holding Company, and the success of future development and regulatory approval of SP-102. These factors raise substantial doubt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Carve-out Basis of Accounting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discussed in Note 1 to the accompanying financial statements, the financial statements have been prepared on a “carve-out” basis from the financial statements of its parent, Scilex Holding Company, as well as allocations deemed reasonable by management to present the results of operations, financial position and cash flows on a standalone basis and may not reflect the results of operations, financial position and cash flows had the Company operated as a standalone company during the periods presented.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Pipara &amp; Co LLP (6841)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Delhi, India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April 21, 2025, except for the effect of the reverse recapitalization described in Note 1 to the consolidated financial statements as to which the date is September 22,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for par value and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870"/>
        <w:gridCol w:w="120"/>
        <w:gridCol w:w="195"/>
        <w:gridCol w:w="1220"/>
        <w:gridCol w:w="155"/>
        <w:gridCol w:w="60"/>
        <w:gridCol w:w="195"/>
        <w:gridCol w:w="1220"/>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center"/>
              <w:rPr>
                <w:b/>
                <w:spacing w:val="0"/>
              </w:rPr>
            </w:pPr>
            <w:r>
              <w:rPr>
                <w:b/>
                <w:spacing w:val="0"/>
              </w:rPr>
              <w:t>ASSETS</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5,981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5,995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14</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689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689</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6,684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703</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0035" w:type="dxa"/>
            <w:gridSpan w:val="8"/>
            <w:tcBorders/>
            <w:shd w:fill="CCEEFF" w:val="clear"/>
            <w:vAlign w:val="center"/>
          </w:tcPr>
          <w:p>
            <w:pPr>
              <w:pStyle w:val="TableContents"/>
              <w:bidi w:val="0"/>
              <w:spacing w:before="0" w:after="0"/>
              <w:jc w:val="center"/>
              <w:rPr>
                <w:b/>
                <w:spacing w:val="0"/>
              </w:rPr>
            </w:pPr>
            <w:r>
              <w:rPr>
                <w:b/>
                <w:spacing w:val="0"/>
              </w:rPr>
              <w:t>LIABILITIES AND STOCKHOLDERS’ DEFICIT</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896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current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896</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Related party loans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49,433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37,901</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49,468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38,797</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Commitments and contingencies (See Note 7)</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Stockholders’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$0.0001 par value, 45,000,000 shares authorized as of December 31, 2024 and no shares authorized as of December 31, 2023; no</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issued and outstanding as of December 31, 2024 and 2023</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200,000,000</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shares authorized, issued and outstanding as of December 31, 2024 and 2023</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Additional paid-in capital</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72,580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72,580</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(115,384</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(110,694</w:t>
            </w:r>
          </w:p>
        </w:tc>
        <w:tc>
          <w:tcPr>
            <w:tcW w:w="170" w:type="dxa"/>
            <w:tcBorders/>
            <w:vAlign w:val="center"/>
          </w:tcPr>
          <w:p>
            <w:pPr>
              <w:pStyle w:val="TableContents"/>
              <w:bidi w:val="0"/>
              <w:spacing w:before="0" w:after="0"/>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(42,784</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(38,094</w:t>
            </w:r>
          </w:p>
        </w:tc>
        <w:tc>
          <w:tcPr>
            <w:tcW w:w="170" w:type="dxa"/>
            <w:tcBorders/>
            <w:shd w:fill="CCEEFF" w:val="clear"/>
            <w:vAlign w:val="center"/>
          </w:tcPr>
          <w:p>
            <w:pPr>
              <w:pStyle w:val="TableContents"/>
              <w:bidi w:val="0"/>
              <w:spacing w:before="0" w:after="0"/>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 and stockholders’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6,684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703</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accompanying notes to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for share and net loss per share amounts) </w:t>
      </w:r>
    </w:p>
    <w:p>
      <w:pPr>
        <w:pStyle w:val="TextBody"/>
        <w:bidi w:val="0"/>
        <w:spacing w:before="0" w:after="0"/>
        <w:jc w:val="left"/>
        <w:rPr>
          <w:spacing w:val="0"/>
        </w:rPr>
      </w:pPr>
      <w:r>
        <w:rPr>
          <w:spacing w:val="0"/>
        </w:rPr>
        <w:t> </w:t>
      </w:r>
    </w:p>
    <w:tbl>
      <w:tblPr>
        <w:tblW w:w="9275" w:type="dxa"/>
        <w:jc w:val="left"/>
        <w:tblInd w:w="0" w:type="dxa"/>
        <w:tblLayout w:type="fixed"/>
        <w:tblCellMar>
          <w:top w:w="0" w:type="dxa"/>
          <w:left w:w="0" w:type="dxa"/>
          <w:bottom w:w="0" w:type="dxa"/>
          <w:right w:w="0" w:type="dxa"/>
        </w:tblCellMar>
      </w:tblPr>
      <w:tblGrid>
        <w:gridCol w:w="6050"/>
        <w:gridCol w:w="120"/>
        <w:gridCol w:w="140"/>
        <w:gridCol w:w="1220"/>
        <w:gridCol w:w="155"/>
        <w:gridCol w:w="60"/>
        <w:gridCol w:w="140"/>
        <w:gridCol w:w="1220"/>
        <w:gridCol w:w="170"/>
      </w:tblGrid>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1,709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1,621</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2,981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1,640</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4,690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3,261</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(4,690</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(3,261</w:t>
            </w:r>
          </w:p>
        </w:tc>
        <w:tc>
          <w:tcPr>
            <w:tcW w:w="170" w:type="dxa"/>
            <w:tcBorders/>
            <w:shd w:fill="CCEEFF" w:val="clear"/>
            <w:vAlign w:val="center"/>
          </w:tcPr>
          <w:p>
            <w:pPr>
              <w:pStyle w:val="TableContents"/>
              <w:bidi w:val="0"/>
              <w:spacing w:before="0" w:after="0"/>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(4,690</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(3,261</w:t>
            </w:r>
          </w:p>
        </w:tc>
        <w:tc>
          <w:tcPr>
            <w:tcW w:w="170" w:type="dxa"/>
            <w:tcBorders/>
            <w:vAlign w:val="center"/>
          </w:tcPr>
          <w:p>
            <w:pPr>
              <w:pStyle w:val="TableContents"/>
              <w:bidi w:val="0"/>
              <w:spacing w:before="0" w:after="0"/>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(0.02</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(0.02</w:t>
            </w:r>
          </w:p>
        </w:tc>
        <w:tc>
          <w:tcPr>
            <w:tcW w:w="170" w:type="dxa"/>
            <w:tcBorders/>
            <w:shd w:fill="CCEEFF" w:val="clear"/>
            <w:vAlign w:val="center"/>
          </w:tcPr>
          <w:p>
            <w:pPr>
              <w:pStyle w:val="TableContents"/>
              <w:bidi w:val="0"/>
              <w:spacing w:before="0" w:after="0"/>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during the period —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200,000,000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200,000,000</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accompanying notes to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left"/>
        <w:rPr>
          <w:spacing w:val="0"/>
        </w:rPr>
      </w:pPr>
      <w:r>
        <w:rPr>
          <w:spacing w:val="0"/>
        </w:rPr>
        <w:t> </w:t>
      </w:r>
    </w:p>
    <w:tbl>
      <w:tblPr>
        <w:tblW w:w="10880" w:type="dxa"/>
        <w:jc w:val="left"/>
        <w:tblInd w:w="0" w:type="dxa"/>
        <w:tblLayout w:type="fixed"/>
        <w:tblCellMar>
          <w:top w:w="0" w:type="dxa"/>
          <w:left w:w="0" w:type="dxa"/>
          <w:bottom w:w="0" w:type="dxa"/>
          <w:right w:w="0" w:type="dxa"/>
        </w:tblCellMar>
      </w:tblPr>
      <w:tblGrid>
        <w:gridCol w:w="1310"/>
        <w:gridCol w:w="60"/>
        <w:gridCol w:w="60"/>
        <w:gridCol w:w="1295"/>
        <w:gridCol w:w="155"/>
        <w:gridCol w:w="60"/>
        <w:gridCol w:w="301"/>
        <w:gridCol w:w="559"/>
        <w:gridCol w:w="155"/>
        <w:gridCol w:w="60"/>
        <w:gridCol w:w="60"/>
        <w:gridCol w:w="1220"/>
        <w:gridCol w:w="60"/>
        <w:gridCol w:w="60"/>
        <w:gridCol w:w="301"/>
        <w:gridCol w:w="559"/>
        <w:gridCol w:w="60"/>
        <w:gridCol w:w="60"/>
        <w:gridCol w:w="187"/>
        <w:gridCol w:w="913"/>
        <w:gridCol w:w="155"/>
        <w:gridCol w:w="60"/>
        <w:gridCol w:w="188"/>
        <w:gridCol w:w="1182"/>
        <w:gridCol w:w="155"/>
        <w:gridCol w:w="60"/>
        <w:gridCol w:w="221"/>
        <w:gridCol w:w="1194"/>
        <w:gridCol w:w="170"/>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430" w:type="dxa"/>
            <w:gridSpan w:val="6"/>
            <w:tcBorders/>
            <w:vAlign w:val="center"/>
          </w:tcPr>
          <w:p>
            <w:pPr>
              <w:pStyle w:val="TableContents"/>
              <w:bidi w:val="0"/>
              <w:spacing w:before="0" w:after="0"/>
              <w:jc w:val="center"/>
              <w:rPr>
                <w:b/>
                <w:spacing w:val="0"/>
              </w:rPr>
            </w:pPr>
            <w:r>
              <w:rPr>
                <w:b/>
                <w:spacing w:val="0"/>
              </w:rPr>
              <w:t>Legacy Common Stock</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br/>
              <w:t>Paid-in</w:t>
              <w:br/>
              <w:t>Capital</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b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415" w:type="dxa"/>
            <w:gridSpan w:val="2"/>
            <w:vMerge w:val="restart"/>
            <w:tcBorders/>
            <w:vAlign w:val="center"/>
          </w:tcPr>
          <w:p>
            <w:pPr>
              <w:pStyle w:val="TableContents"/>
              <w:bidi w:val="0"/>
              <w:spacing w:before="0" w:after="0"/>
              <w:jc w:val="center"/>
              <w:rPr>
                <w:b/>
                <w:spacing w:val="0"/>
              </w:rPr>
            </w:pPr>
            <w:r>
              <w:rPr>
                <w:b/>
                <w:spacing w:val="0"/>
              </w:rPr>
              <w:t>Stockholders’</w:t>
              <w:br/>
              <w:t>Deficit</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55"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3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December 31, 2022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160,000,000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72,598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(107,433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w:t>
            </w:r>
          </w:p>
        </w:tc>
        <w:tc>
          <w:tcPr>
            <w:tcW w:w="1194" w:type="dxa"/>
            <w:tcBorders/>
            <w:shd w:fill="CCEEFF" w:val="clear"/>
            <w:vAlign w:val="center"/>
          </w:tcPr>
          <w:p>
            <w:pPr>
              <w:pStyle w:val="TableContents"/>
              <w:bidi w:val="0"/>
              <w:spacing w:before="0" w:after="0"/>
              <w:jc w:val="right"/>
              <w:rPr>
                <w:spacing w:val="0"/>
              </w:rPr>
            </w:pPr>
            <w:r>
              <w:rPr>
                <w:spacing w:val="0"/>
              </w:rPr>
              <w:t>(34,833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Retroactive application of recapitalization</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(160,000,000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200,000,000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20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Adjusted balance, December 31, 2022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(107,433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 </w:t>
            </w:r>
          </w:p>
        </w:tc>
        <w:tc>
          <w:tcPr>
            <w:tcW w:w="1194" w:type="dxa"/>
            <w:tcBorders/>
            <w:shd w:fill="CCEEFF" w:val="clear"/>
            <w:vAlign w:val="center"/>
          </w:tcPr>
          <w:p>
            <w:pPr>
              <w:pStyle w:val="TableContents"/>
              <w:bidi w:val="0"/>
              <w:spacing w:before="0" w:after="0"/>
              <w:jc w:val="right"/>
              <w:rPr>
                <w:spacing w:val="0"/>
              </w:rPr>
            </w:pPr>
            <w:r>
              <w:rPr>
                <w:spacing w:val="0"/>
              </w:rPr>
              <w:t>(34,833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(3,261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(3,261</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December 31, 2023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(110,694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 </w:t>
            </w:r>
          </w:p>
        </w:tc>
        <w:tc>
          <w:tcPr>
            <w:tcW w:w="1194" w:type="dxa"/>
            <w:tcBorders/>
            <w:shd w:fill="CCEEFF" w:val="clear"/>
            <w:vAlign w:val="center"/>
          </w:tcPr>
          <w:p>
            <w:pPr>
              <w:pStyle w:val="TableContents"/>
              <w:bidi w:val="0"/>
              <w:spacing w:before="0" w:after="0"/>
              <w:jc w:val="right"/>
              <w:rPr>
                <w:spacing w:val="0"/>
              </w:rPr>
            </w:pPr>
            <w:r>
              <w:rPr>
                <w:spacing w:val="0"/>
              </w:rPr>
              <w:t>(38,094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(4,690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(4,690</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3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December 31,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(115,384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w:t>
            </w:r>
          </w:p>
        </w:tc>
        <w:tc>
          <w:tcPr>
            <w:tcW w:w="1194" w:type="dxa"/>
            <w:tcBorders/>
            <w:shd w:fill="CCEEFF" w:val="clear"/>
            <w:vAlign w:val="center"/>
          </w:tcPr>
          <w:p>
            <w:pPr>
              <w:pStyle w:val="TableContents"/>
              <w:bidi w:val="0"/>
              <w:spacing w:before="0" w:after="0"/>
              <w:jc w:val="right"/>
              <w:rPr>
                <w:spacing w:val="0"/>
              </w:rPr>
            </w:pPr>
            <w:r>
              <w:rPr>
                <w:spacing w:val="0"/>
              </w:rPr>
              <w:t>(42,784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accompanying notes to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673"/>
        <w:gridCol w:w="120"/>
        <w:gridCol w:w="247"/>
        <w:gridCol w:w="1207"/>
        <w:gridCol w:w="239"/>
        <w:gridCol w:w="91"/>
        <w:gridCol w:w="260"/>
        <w:gridCol w:w="1194"/>
        <w:gridCol w:w="174"/>
      </w:tblGrid>
      <w:tr>
        <w:trPr/>
        <w:tc>
          <w:tcPr>
            <w:tcW w:w="6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7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8" w:type="dxa"/>
            <w:gridSpan w:val="6"/>
            <w:tcBorders/>
            <w:vAlign w:val="center"/>
          </w:tcPr>
          <w:p>
            <w:pPr>
              <w:pStyle w:val="TableContents"/>
              <w:bidi w:val="0"/>
              <w:spacing w:before="0" w:after="0"/>
              <w:jc w:val="center"/>
              <w:rPr>
                <w:b/>
                <w:spacing w:val="0"/>
              </w:rPr>
            </w:pPr>
            <w:r>
              <w:rPr>
                <w:b/>
                <w:spacing w:val="0"/>
              </w:rPr>
              <w:t>Years Ended December 31,</w:t>
            </w:r>
          </w:p>
        </w:tc>
        <w:tc>
          <w:tcPr>
            <w:tcW w:w="174" w:type="dxa"/>
            <w:tcBorders/>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07"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66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207" w:type="dxa"/>
            <w:tcBorders/>
            <w:vAlign w:val="center"/>
          </w:tcPr>
          <w:p>
            <w:pPr>
              <w:pStyle w:val="TableContents"/>
              <w:bidi w:val="0"/>
              <w:spacing w:before="0" w:after="283"/>
              <w:jc w:val="right"/>
              <w:rPr/>
            </w:pPr>
            <w:r>
              <w:rPr/>
              <w:t>(4,690</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(3,261</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proceeds used for operating activities: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07"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66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6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660</w:t>
            </w:r>
          </w:p>
        </w:tc>
        <w:tc>
          <w:tcPr>
            <w:tcW w:w="23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840</w:t>
            </w:r>
          </w:p>
        </w:tc>
        <w:tc>
          <w:tcPr>
            <w:tcW w:w="174" w:type="dxa"/>
            <w:tcBorders/>
            <w:shd w:fill="CCEEFF" w:val="clear"/>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43</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(861</w:t>
            </w:r>
          </w:p>
        </w:tc>
        <w:tc>
          <w:tcPr>
            <w:tcW w:w="23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701</w:t>
            </w:r>
          </w:p>
        </w:tc>
        <w:tc>
          <w:tcPr>
            <w:tcW w:w="174" w:type="dxa"/>
            <w:tcBorders/>
            <w:shd w:fill="CCEEFF" w:val="clear"/>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for operating activities</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(4,891</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(1,677</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207" w:type="dxa"/>
            <w:tcBorders/>
            <w:shd w:fill="CCEEFF" w:val="clear"/>
            <w:vAlign w:val="center"/>
          </w:tcPr>
          <w:p>
            <w:pPr>
              <w:pStyle w:val="TableContents"/>
              <w:bidi w:val="0"/>
              <w:spacing w:before="0" w:after="283"/>
              <w:jc w:val="left"/>
              <w:rPr>
                <w:sz w:val="4"/>
                <w:szCs w:val="4"/>
              </w:rPr>
            </w:pPr>
            <w:r>
              <w:rPr>
                <w:sz w:val="4"/>
                <w:szCs w:val="4"/>
              </w:rPr>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4"/>
                <w:szCs w:val="4"/>
              </w:rPr>
            </w:pPr>
            <w:r>
              <w:rPr>
                <w:sz w:val="4"/>
                <w:szCs w:val="4"/>
              </w:rPr>
            </w:r>
          </w:p>
        </w:tc>
        <w:tc>
          <w:tcPr>
            <w:tcW w:w="1194"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667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related party loans</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10,872</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1,661</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of deferred offering costs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(5,981</w:t>
            </w:r>
          </w:p>
        </w:tc>
        <w:tc>
          <w:tcPr>
            <w:tcW w:w="23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4,891</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1,661</w:t>
            </w:r>
          </w:p>
        </w:tc>
        <w:tc>
          <w:tcPr>
            <w:tcW w:w="174" w:type="dxa"/>
            <w:tcBorders/>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change in cash and cash equivalents</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3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(16</w:t>
            </w:r>
          </w:p>
        </w:tc>
        <w:tc>
          <w:tcPr>
            <w:tcW w:w="174" w:type="dxa"/>
            <w:tcBorders/>
            <w:shd w:fill="CCEEFF" w:val="clear"/>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12</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28</w:t>
            </w:r>
          </w:p>
        </w:tc>
        <w:tc>
          <w:tcPr>
            <w:tcW w:w="174" w:type="dxa"/>
            <w:tcBorders/>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667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12</w:t>
            </w:r>
          </w:p>
        </w:tc>
        <w:tc>
          <w:tcPr>
            <w:tcW w:w="239"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12</w:t>
            </w:r>
          </w:p>
        </w:tc>
        <w:tc>
          <w:tcPr>
            <w:tcW w:w="174" w:type="dxa"/>
            <w:tcBorders/>
            <w:shd w:fill="CCEEFF" w:val="clear"/>
            <w:vAlign w:val="center"/>
          </w:tcPr>
          <w:p>
            <w:pPr>
              <w:pStyle w:val="TableContents"/>
              <w:bidi w:val="0"/>
              <w:spacing w:before="0" w:after="283"/>
              <w:jc w:val="left"/>
              <w:rPr/>
            </w:pPr>
            <w:r>
              <w:rPr/>
              <w:t> </w:t>
            </w:r>
          </w:p>
        </w:tc>
      </w:tr>
      <w:tr>
        <w:trPr/>
        <w:tc>
          <w:tcPr>
            <w:tcW w:w="66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9"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accompanying notes to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NOTES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Note 1. Nature of Operations and Basis of Presentation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Organization and Principal Activities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Semnur Pharmaceuticals, Inc. (“Semnur” or the “Company”) was formed in 2013 and became a wholly owned subsidiary of Scilex Holding Company (“Scilex”) in 2019. The Company is a late clinical stage specialty pharmaceutical company focused on the development and commercialization of novel non-opioid pain therapies. The Company is currently developing one product candidate, SP-102 (10 mg, dexamethasone sodium phosphate viscous gel), a novel, viscous gel formulation of a widely used corticosteroid for epidural injections to treat lumbosacral radicular pain, or sciatica, for which the Company has completed a pivotal Phase 3 study (“SP-102” or “SEMDEXA”). Since inception, the Company has devoted all of its efforts to the development of SP-102 and operates in one segment. The Company is a Delaware corporation and is headquartered in Palo Alto, California.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August 30, 2024, the Company entered into an agreement and plan of merger (as it may be amended or restated from time to time in accordance with its terms, including by Amendment No. 1 to Agreement and Plan of Merger, dated as of April 16, 2025 (the “Merger Agreement Amendment”), the “Merger Agreement”) with Denali Capital Acquisition Corp., a Cayman Islands corporation and special purpose acquisition company (“Denali” or the “SPAC”), and Denali Merger Sub Inc., a Delaware corporation and wholly owned subsidiary of Denali (the “Merger Sub”). The proposed merger and business combination contemplated by the Merger Agreement (the “Business Combination”) would result in a publicly traded biopharma company (“New Semnur”) and further provide funding for the Company for use in the development of SP-102, with Scilex expected to be the majority holder of the Company following completion of the proposed Business Combination.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terms of the Merger Agreement, (i) prior to the effective time of the Business Combination, Denali will change its jurisdiction of incorporation by deregistering as a Cayman Islands exempted company and continuing and domesticating as a corporation incorporated under the laws of the State of Delaware (the “Domestication”) and (ii) at the time the Business Combination becomes effective, and following the Domestication, Merger Sub will merge with and into the Company, with the Company continuing as the surviving entity and wholly owned subsidiary of Denali. The Business Combination is expected to close during the second quarter of 2025, after the required approval by Denali’s shareholders and the satisfaction or waiver of certain other conditions.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Retroactive Application of Reverse Recapitalization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References to “Legacy Semnur” refer to the private Delaware corporation that is now the Company’s wholly owned subsidiary and named Semnur, Inc. (formerly known as “Semnur Pharmaceuticals, Inc.”).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22, 2025 (the “Closing”), the Company consummated a business combination pursuant to the Merger Agreement and in accordance with the terms and subject to the conditions, at Closing, (i) each outstanding share of Legacy Semnur common stock outstanding immediately prior to Closing was automatically cancelled in exchange for the right to receive 1.25 shares (the “Exchange Ratio”) of the Company’s common stock, (ii) each share of Legacy Semnur preferred stock outstanding immediately prior to the Closing was cancelled in exchange for the right to receive (a) one share of the Company’s Series A Preferred Stock and (b) one-tenth of one share of the Company’s common stock, and (iii) each option to purchase shares of Legacy Semnur common stock outstanding as of immediately prior to the Closing was converted into the right to receive a comparable option to purchase shares of the Company’s common stock with a corresponding change to the exercise price.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such, 160,000,000 shares of Legacy Semnur common stock and 40,000,0000 Legacy Semnur stock options, respectively, were automatically cancelled in exchange for 200,000,000 shares of the Company’s common stock and 50,000,000 options to purchase the Company’s common stock, respectively, at the Exchange Ratio.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Pursuant to U.S. GAAP, the Company recast its Balance Sheets, Statements of Operations and Statements of Stockholders’ Deficit as of and for the years ended December 31, 2024 and 2023 by applying the recapitalization retroactively.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recast the Statements of Stockholder’s Deficit as of December 31, 2024 and 2023 to reflect the retroactive application of the recapitalization at the Exchange Ratio and the reclass of the par value of Legacy Semnur common stock to additional paid-in capital, less amounts attributable to the par value of the Company’s common stock. The Company has conformed the Balance Sheets as of December 31, 2024 and 2023 to the recast Statements of Stockholder’s Deficit. Furthermore, on the Statement of Operations for the years ended December 31, 2024 and 2023, the Company has recalculated the weighted-average number of shares utilized to calculate net loss per share to consider the retroactive application using the Exchange Ratio.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financial statements have been prepared in accordance with accounting principles generally accepted in the United States of America (“GAAP”) and include all adjustments necessary for the fair presentation of the Company’s financial position for the periods presented.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Carve-Out Method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Since 2019, the Company has operated as a wholly owned subsidiary of Scilex and the Company’s financial results have been historically included in Scilex’s consolidated financial results. Standalone financial statements have not previously been prepared for the Company. Accordingly, these separate financial statements have been extracted from the accounting records of Scilex.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accompanying financial statements reflect assets, liabilities, and expenses that are directly attributable to the Company, including the assets, liabilities, and expenses of the SP-102 development program. The assets and liabilities excluded from the accompanying financial statements consist of: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Cash held by Scilex to fund the Company’s operations. Scilex uses a centralized approach to cash management and financing of its operations and those of its subsidiaries. Accordingly, only the cash and cash equivalents residing in the Company’s bank accounts and legally owned by the Company have been reflected in these financial statements. </w:t>
            </w:r>
          </w:p>
        </w:tc>
      </w:tr>
    </w:tbl>
    <w:p>
      <w:pPr>
        <w:pStyle w:val="TextBody"/>
        <w:bidi w:val="0"/>
        <w:spacing w:before="0" w:after="0"/>
        <w:ind w:left="0" w:right="0" w:hanging="0"/>
        <w:jc w:val="left"/>
        <w:rPr>
          <w:sz w:val="12"/>
        </w:rPr>
      </w:pPr>
      <w:r>
        <w:rPr>
          <w:sz w:val="12"/>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assets and liabilities at Scilex which are not directly related to, or are not specifically owned by, or are not commitments, of the Company, including certain fixed assets, intangible assets, and leases shared by the Company with other business operations of Scilex.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Third-party debt held by Scilex and the related interest expense have not been allocated to the financial statements as the Company was not the legal obligor of the third-party debt and Scilex’s borrowings were not directly attributable to the Company. To fund the Company’s operating cash flow needs, Scilex made payments on behalf of the Company directly to vendors during the years ended December 31, 2024 and 2023 totaling $10.9 million and $1.7 million, respectively. Additionally, allocated non-cash stock-based compensation expenses during the years ended December 31, 2024 and 2023 were $0.7 million and $0.9 million, respectively. These amounts do not carry interest, and are not expected to be settled through transfer of cash or other assets by the Company. On August 30, 2024, the Company and Scilex entered into a Contribution and Satisfaction of Indebtedness Agreement (the “Debt Exchange Agreement”) in connection with the planned settlement of these amounts. Given these amounts are a form of indebtedness, as acknowledged by the parties under the Debt Exchange Agreement, they are presented as a related party loan in the historical financial statements. See the section titled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 Exchange Agreement</w:t>
            </w:r>
          </w:p>
          <w:p>
            <w:pPr>
              <w:pStyle w:val="TableContents"/>
              <w:bidi w:val="0"/>
              <w:spacing w:before="0" w:after="0"/>
              <w:jc w:val="left"/>
              <w:rPr/>
            </w:pPr>
            <w:r>
              <w:rPr/>
              <w:t xml:space="preserve">” </w:t>
            </w:r>
            <w:r>
              <w:rPr>
                <w:rFonts w:ascii="Times New Roman" w:hAnsi="Times New Roman"/>
                <w:sz w:val="20"/>
              </w:rPr>
              <w:t>in Note 9 titled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Related Parties</w:t>
            </w:r>
          </w:p>
          <w:p>
            <w:pPr>
              <w:pStyle w:val="TableContents"/>
              <w:bidi w:val="0"/>
              <w:spacing w:before="0" w:after="0"/>
              <w:jc w:val="left"/>
              <w:rPr/>
            </w:pPr>
            <w:r>
              <w:rPr/>
              <w:t xml:space="preserve">” </w:t>
            </w:r>
            <w:r>
              <w:rPr>
                <w:rFonts w:ascii="Times New Roman" w:hAnsi="Times New Roman"/>
                <w:sz w:val="20"/>
              </w:rPr>
              <w:t xml:space="preserve">for additional details.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operating expenses consisted of both research and development (“R&amp;D”) and general and administrative (“G&amp;A”) expenses. R&amp;D expenses directly related to the Company, including third-party costs of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conducting studies and clinical trials for the SP-102 product candidate, were entirely attributed to the Company in the accompanying financial statements. R&amp;D salaries, wages, benefits, and stock-based compensation related to Scilex’s equity incentive plans were allocated to the Company based on the estimated percentage of time certain Scilex R&amp;D employees spent on the SP-102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also received services and support from other functions of Scilex. The Company’s operations are dependent upon the ability of these other functions to provide these services and support. The costs associated with these services and support were allocated to the Company based on the estimated percentage of time certain Scilex employees spent supporting the SP-102 program. These allocated costs were primarily related to corporate administrative expenses, G&amp;A employee related costs, including salaries, stock-based compensation related to Scilex’s equity incentive plans, and other benefits for corporate employees, as well as other expenses for shared assets for the following functional groups: information technology, legal, accounting and finance, facilities, and other corporate and infrastructural services. These allocated costs were recorded as R&amp;D expenses and G&amp;A expenses in the statements of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believes the assumptions and allocations underlying the accompanying financial statements were reasonable and appropriate under the circumstances. Nevertheless, the Company’s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Forward Stock Split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30, 2024, the Company’s board of directors approved an amendment to its Amended and Restated Certificate of Incorporation to (a) increase the authorized number of shares of all classes of the Company’s stock to 245,000,00 shares, consisting (i) 200,000,000 shares of common stock, par value $0.00001 per share, and (ii) 45,000,000 shares of preferred stock, par value $0.00001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 share; (b) effect a 160,000-for-1 forward stock split of all outstanding shares of the Company’s common stock (the “Forward Split”); and (c) establish the authorization for issuance of shares of preferred stock designation in series. The Forward Stock Split proportionally increased the number of all issued and outstanding shares of the Company’s common stock from 1,000 to 160,000,000 and did not change the par value per share. All equity-related information including per share amounts for all periods presented within these financial statements have been adjusted retroactively, where applicable, to reflect the Forward Stock Split.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2. Liquidity and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 of December 31, 2024, the Company had cash and cash equivalents of approximately $12,000. During the year ended December 31, 2024, the Company had operating losses of $4.7 million and negative cash flows from operations of $4.9 million. The Company had an accumulated deficit of approximately $115.4 million as of December 31, 2024. The Company is dependent upon Scilex to provide services and funding to support the operations of the Company until, at least, such time as external financing is obtained. The Company expects to incur significant expenses and operating losses for the foreseeable future as it continues its efforts to develop and seek regulatory approval for SP-102.</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will need additional financing to fund its ongoing activities. The Company may obtain additional funding through a combination of equity offerings, debt financings, collaborations, government contracts or other capital sources, including potential collaborations with other companies or other strategic transactions. The Company’s plans are also dependent upon the success of future development and regulatory approval of SP-102.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financial statements are issued.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3.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The preparation of these financial statements in conformity with GAAP requires the Company to make estimates and assumptions that affect the reported amounts of assets and liabilities and the reported amounts of operating expenses during the reporting period. These estimates include, but are not limited to, fair value of financial instruments, useful lives of property and equipment, certain assumptions used to calculate the fair value of Scilex stock option awards, as well as the percentage of time certain Scilex employees spent supporting the Company’s SP-102 program, which is used to calculate the amount of operating expenses allocated from Scilex as discussed in the</w:t>
      </w:r>
    </w:p>
    <w:p>
      <w:pPr>
        <w:pStyle w:val="TextBody"/>
        <w:bidi w:val="0"/>
        <w:spacing w:before="12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Carve-Out Method”</w:t>
      </w:r>
    </w:p>
    <w:p>
      <w:pPr>
        <w:pStyle w:val="TextBody"/>
        <w:bidi w:val="0"/>
        <w:spacing w:before="120" w:after="0"/>
        <w:jc w:val="left"/>
        <w:rPr>
          <w:rFonts w:ascii="Times New Roman" w:hAnsi="Times New Roman"/>
          <w:sz w:val="20"/>
        </w:rPr>
      </w:pPr>
      <w:r>
        <w:rPr>
          <w:rFonts w:ascii="Times New Roman" w:hAnsi="Times New Roman"/>
          <w:sz w:val="20"/>
        </w:rPr>
        <w:t xml:space="preserve">section of Note 1 above.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Management believes that these estimates are reasonable; however, actual results may differ from these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considers all highly liquid investments purchased with original maturities of three months or less to be cash equivalents, such as money market accounts. The Company minimizes its credit risk associated with cash and cash equivalents by periodically evaluating the credit quality of its primary financial institution.</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 </w:t>
      </w: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Level 1</w:t>
      </w:r>
    </w:p>
    <w:p>
      <w:pPr>
        <w:pStyle w:val="TextBody"/>
        <w:bidi w:val="0"/>
        <w:spacing w:before="120" w:after="0"/>
        <w:jc w:val="left"/>
        <w:rPr/>
      </w:pPr>
      <w:r>
        <w:rPr/>
        <w:t xml:space="preserve">— </w:t>
      </w:r>
      <w:r>
        <w:rPr>
          <w:rFonts w:ascii="Times New Roman" w:hAnsi="Times New Roman"/>
          <w:sz w:val="20"/>
        </w:rPr>
        <w:t xml:space="preserve">Observable inputs such as unadjusted, quoted prices in active markets for identical assets or liabilities at the measurement date; </w:t>
      </w: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Level 2</w:t>
      </w:r>
    </w:p>
    <w:p>
      <w:pPr>
        <w:pStyle w:val="TextBody"/>
        <w:bidi w:val="0"/>
        <w:spacing w:before="120" w:after="0"/>
        <w:jc w:val="left"/>
        <w:rPr/>
      </w:pPr>
      <w:r>
        <w:rPr/>
        <w:t xml:space="preserve">— </w:t>
      </w:r>
      <w:r>
        <w:rPr>
          <w:rFonts w:ascii="Times New Roman" w:hAnsi="Times New Roman"/>
          <w:sz w:val="20"/>
        </w:rPr>
        <w:t xml:space="preserve">Inputs (other than quoted prices included in Level 1) that are either directly or indirectly observable inputs for similar assets or liabilities. These include quoted prices for identical or similar assets or liabilities in active markets and quoted prices for identical or similar assets or liabilities in markets that are not active; and </w:t>
      </w:r>
    </w:p>
    <w:p>
      <w:pPr>
        <w:pStyle w:val="TextBody"/>
        <w:bidi w:val="0"/>
        <w:spacing w:before="120" w:after="0"/>
        <w:ind w:left="0" w:right="0" w:hanging="0"/>
        <w:jc w:val="left"/>
        <w:rPr>
          <w:rFonts w:ascii="Times New Roman" w:hAnsi="Times New Roman"/>
          <w:b/>
          <w:spacing w:val="0"/>
          <w:sz w:val="20"/>
        </w:rPr>
      </w:pPr>
      <w:r>
        <w:rPr>
          <w:rFonts w:ascii="Times New Roman" w:hAnsi="Times New Roman"/>
          <w:b/>
          <w:spacing w:val="0"/>
          <w:sz w:val="20"/>
        </w:rPr>
        <w:t>Level 3</w:t>
      </w:r>
    </w:p>
    <w:p>
      <w:pPr>
        <w:pStyle w:val="TextBody"/>
        <w:bidi w:val="0"/>
        <w:spacing w:before="120" w:after="0"/>
        <w:jc w:val="left"/>
        <w:rPr/>
      </w:pPr>
      <w:r>
        <w:rPr/>
        <w:t xml:space="preserve">— </w:t>
      </w:r>
      <w:r>
        <w:rPr>
          <w:rFonts w:ascii="Times New Roman" w:hAnsi="Times New Roman"/>
          <w:sz w:val="20"/>
        </w:rPr>
        <w:t xml:space="preserve">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Financial instruments measured at fair value are classified in their entirety based on the lowest level of input that is significant to the fair value measurement. The Company’s assessment of the significance of a particular input to the fair value measurement in its entirety requires it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and 2023, the carrying amount of cash equivalents approximates their fair value based upon quoted market prices.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contracts with third parties for the manufacture, assembly, testing, packaging and storage of its product candidate. The Company’s contract manufacturing organizations (“CMOs”) comply with Current Good Manufacturing Practice (“cGMP”) and regulatory requirements. The CMOs are selected for specific competencies having met the Company’s development, manufacturing, quality and the FDA regulatory requirements. These CMOs manufacture the Company’s clinical supplies and commercial batches. The Company currently has no plans to build its own manufacturing or distribution infrastructure. As clinical trial development progresses forward, the Company will continue to explore both internal capabilities as well as deepening and expanding external relationships to ensure it is able to meet manufacturing requirements.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Historically, the Company has purchased its clinical and commercial supply requirements for sodium hyaluronate, one of the excipients for SP-102, from Genzyme Corporation (“Genzyme”) pursuant to a supply agreement, which terminated as of May 31, 2024. Management anticipates that the current on-hand supply of sodium hyaluronate will be sufficient to satisfy the Company’s clinical and commercial supply requirements for sodium hyaluronate for at least 12 months following the future commercial launch of SP-102 estimated to be in 2027. The Company is in discussions with Sanofi S.A., an affiliate of Genzyme, for a new supply agreement, and is in the process of identifying and certifying new suppliers, in each case to fulfill its future supply requirements for sodium hyaluronate.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Lifecore Master Services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January 27, 2017, the Company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(each a “Lifecore Statement of Work”). The parties entered into a Lifecore Statement of Work on January 27, 2017, pursuant to which Lifecore agreed to provide, among other things, (1) project management support, (2) development services, (3) clinical trial materials, and (4) stability studies. The Company paid Lifecore for the development and clinical trial material manufacturing services, which was invoiced at the completion of each service.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purposes of Lifecore’s development and clinical trial material manufacturing obligations, the Company granted Lifecore a nonexclusive, worldwide and royalty-free license under our owned or controlled intellectual property rights necessary to manufacture SP-102, without additional right, title or interest in the Company’s intellectual property.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(d) engages in any act which materially impairs goodwill associated with SEMDEXA or materially impairs the terminating party’s trademark or trade name. In addition, Lifecore may terminate the agreement if (i) Semnur fails to pay past due invoices upon 30 days’ written notice, or (ii) Semnur rejects or fails to respond to a major change or minor change proposed by Lifecore that does not change SEMDEXA’s written and approved acceptance criteria.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Lifecore Master Services Agreement contains customary reciprocal indemnification obligations for Lifecore and Semnur.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are carried at cost less accumulated depreciation. Depreciation of property and equipment is computed using the straight-line method over the estimated useful lives of the assets, which are generally five to seven years. The cost of repairs and maintenance is expensed as incurred. Costs for property and equipment not yet placed into service are capitalized as construction-in-progress and depreciated once placed into service.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deferred offering costs consist of legal, accounting and other general and administrative costs directly attributable to the proposed Business Combination. After consummation of the proposed Business Combination, these costs will be classified in stockholders’ deficit as a reduction of additional paid-in capital recorded as a result of the Business Combination. In the event the proposed Business Combination is terminated, all deferred offering costs will be reclassified to general and administrative expenses in the Company’s statements of operations. As of December 31, 2024, $6.0 million of deferred offering costs were included within other current assets in the Company’s balance sheet. As of December 31, 2023, there were no deferred offering costs.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expenses the cost of research and development as incurred. R&amp;D expenses are comprised of costs incurred in performing R&amp;D activities, including clinical trial costs, manufacturing costs for clinical</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materials, and the costs relating to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Financial Accounting Standards Board (“FASB”) Accounting Standards Codification (“ASC”) Topic 730,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Research and Development.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provisions of the ASC Topic 740,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address the determination of whether tax benefits claimed or expected to be claimed on a tax return should be recorded in the financial statements. Under ASC Subtopic 740-10, 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accounts for income taxes using the asset and liability method to compute the differences between the tax basis of assets and liabilities and the related financial amounts, using currently enacted tax rates.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Company has deferred tax assets, which are subject to periodic recoverability assessments. Valuation allowances are established, when necessary, to reduce deferred tax assets to the amount that more likely than not will be realized. See Note 8 titled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for additional details.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stock-based compensation in accordance with ASC Topic 718,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 Stock Compensation</w:t>
      </w:r>
    </w:p>
    <w:p>
      <w:pPr>
        <w:pStyle w:val="TextBody"/>
        <w:bidi w:val="0"/>
        <w:spacing w:before="120" w:after="0"/>
        <w:jc w:val="left"/>
        <w:rPr>
          <w:rFonts w:ascii="Times New Roman" w:hAnsi="Times New Roman"/>
          <w:sz w:val="20"/>
        </w:rPr>
      </w:pPr>
      <w:r>
        <w:rPr>
          <w:rFonts w:ascii="Times New Roman" w:hAnsi="Times New Roman"/>
          <w:sz w:val="20"/>
        </w:rPr>
        <w:t xml:space="preserve">which establishes accounting for equity instruments exchanged for employee and consulting services.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did not have its own equity incentive plans for the years ended December 31, 2024 and 2023, other than the 2024 Stock Option Plan as described below. However, certain shared employees of Scilex, who provide services and support activities related to the Company, also participate in Scilex’s stock-based compensation plans. The stock-based compensation for such employees is allocated and attributed to the Company based on the estimated percentage of their time spent providing services attributable to the Company.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August 30, 2024, the Company’s board of directors adopted the 2024 Stock Option Plan and approved the grant of Non-statutory Stock Options (“NSOs”) to the members of the Company’s executive team and certain shared employees of Scilex – who provide services and support activities related to the Company – to purchase an aggregate of 50,000,000 shares of the Company’s common stock initially at an exercise price of $0.99 per share, which was then updated to $1.26 per share on December 28, 2024 to reflect the updated per share value of the Company’s common stock as of August 30,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The Company accounts for forfeitures as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 Company determines an estimate of option volatility based on an assessment of historical volatilities of comparable companies whose share prices are publicly available. The Company uses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the Company’s statement of operations.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net loss per share is computed by dividing net loss for the period by the weighted average number of shares of common stock outstanding during the period. Diluted net loss per share reflects the additional dilution from potential issuances of common stock, such as stock issuable pursuant to the exercise of stock options. The treasury stock method is used to calculate the potential dilutive effect of these common stock equivalents. Potentially dilutive shares are excluded from the computation of diluted net loss per share when their effect is anti-dilutive. In periods where a net loss is presented, all potentially dilutive securities are anti-dilutive and are excluded from the computation of diluted net loss per share.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segments are identified as components of an entity where separate discrete financial information is available for evaluation by the chief operating decision maker in making decisions on how to allocate resources and assesses performance. The Company has determined that its chief operating decision maker is its Chief Executive Officer, as he is responsible for making decisions regarding the allocation of resources and assessing performance as well as for strategic operational decisions. The Company is engaged primarily in the development of non-opioid products focused on pain management products for the treatment of acute and chronic pain. Accordingly, the Company has determined that it operates its business as a single operating segment and has one reportable segment.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October 2023, the FASB issued Accounting Standards Update (“ASU”) 2023-06,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Disclosure Improvements - Codification Amendments in Response to the SEC’s Disclosure Update and Simplification Initiative</w:t>
      </w:r>
    </w:p>
    <w:p>
      <w:pPr>
        <w:pStyle w:val="TextBody"/>
        <w:bidi w:val="0"/>
        <w:spacing w:before="120" w:after="0"/>
        <w:jc w:val="left"/>
        <w:rPr>
          <w:rFonts w:ascii="Times New Roman" w:hAnsi="Times New Roman"/>
          <w:spacing w:val="0"/>
          <w:sz w:val="20"/>
        </w:rPr>
      </w:pPr>
      <w:r>
        <w:rPr>
          <w:rFonts w:ascii="Times New Roman" w:hAnsi="Times New Roman"/>
          <w:spacing w:val="0"/>
          <w:sz w:val="20"/>
        </w:rPr>
        <w:t>, which will impact various disclosure areas. The amendments in ASU 2023-06 will be effective on the date the related disclosures are removed from Regulation S-X or Regulation S-K by the Securities and Exchange Commission (the “SEC”), and will no longer be effective if the SEC has not removed the applicable disclosure requirement by June 30, 2027. The Company is currently evaluating the impacts of this standard on its related disclosures.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November 2023, the FASB issued ASU 2023-07,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Reporting (Topic 280)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which improves reportable segment disclosure requirements, primarily through enhanced disclosures about significant segment expenses. This ASU is effective for fiscal years beginning after December 15, 2023, and interim periods within fiscal years beginning after December 15, 2024, and is applicable to public entities, including those that have a single reportable segment. Early adoption is permitted. The Company is currently evaluating the impacts of this standard on its financial statements and related disclosures.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December 2023, the FASB issued ASU 2023-09,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Improvements to Income Tax Disclosures (Topic 740)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 The update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Adoption of this ASU allows for either the prospective or retrospective application of the amendment and is effective for annual periods beginning after December 15, 2024, with early adoption permitted. The Company is currently evaluating the impacts of this standard on its financial statements and related disclosures.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November 2024, the FASB issued ASU 2024-03,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Statement—Reporting Comprehensive Income—Expense Disaggregation Disclosures</w:t>
      </w:r>
    </w:p>
    <w:p>
      <w:pPr>
        <w:pStyle w:val="TextBody"/>
        <w:bidi w:val="0"/>
        <w:spacing w:before="240" w:after="0"/>
        <w:jc w:val="left"/>
        <w:rPr>
          <w:rFonts w:ascii="Times New Roman" w:hAnsi="Times New Roman"/>
          <w:spacing w:val="0"/>
          <w:sz w:val="20"/>
        </w:rPr>
      </w:pPr>
      <w:r>
        <w:rPr>
          <w:rFonts w:ascii="Times New Roman" w:hAnsi="Times New Roman"/>
          <w:spacing w:val="0"/>
          <w:sz w:val="20"/>
        </w:rPr>
        <w:t>, which will require additional expense disclosures for all public entities. The amendments in ASU 2024-03 require that at each interim and annual reporting period, an entity disclose certain disaggregated expenses included in each relevant expense caption, as well as the total amount of</w:t>
      </w:r>
    </w:p>
    <w:p>
      <w:pPr>
        <w:pStyle w:val="TextBody"/>
        <w:bidi w:val="0"/>
        <w:spacing w:before="240" w:after="0"/>
        <w:jc w:val="left"/>
        <w:rPr>
          <w:rFonts w:ascii="Times New Roman" w:hAnsi="Times New Roman"/>
          <w:spacing w:val="0"/>
          <w:sz w:val="20"/>
        </w:rPr>
      </w:pPr>
      <w:r>
        <w:rPr>
          <w:rFonts w:ascii="Times New Roman" w:hAnsi="Times New Roman"/>
          <w:spacing w:val="0"/>
          <w:sz w:val="20"/>
        </w:rPr>
        <w:t>selling expenses and, in annual periods, an entity’s definition of selling expenses. ASU 2024-03 is effective for annual reporting periods beginning with the fiscal year ending December 31, 2027, and interim periods thereafter, with early adoption permitted. The Company is currently evaluating the incremental disclosures that will be required in its financial statements.</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4. Fair Value Measurements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measures and reports certain financial instruments as assets and liabilities at fair value on a recurring basis. The following table presents the Company’s financial assets that are measured at fair value on a recurring basis and the level of inputs used in such measurements (in thousands): </w:t>
      </w:r>
    </w:p>
    <w:p>
      <w:pPr>
        <w:pStyle w:val="TextBody"/>
        <w:bidi w:val="0"/>
        <w:spacing w:before="0" w:after="0"/>
        <w:jc w:val="left"/>
        <w:rPr>
          <w:spacing w:val="0"/>
        </w:rPr>
      </w:pPr>
      <w:r>
        <w:rPr>
          <w:spacing w:val="0"/>
        </w:rPr>
        <w:t> </w:t>
      </w:r>
    </w:p>
    <w:tbl>
      <w:tblPr>
        <w:tblW w:w="8410" w:type="dxa"/>
        <w:jc w:val="left"/>
        <w:tblInd w:w="0" w:type="dxa"/>
        <w:tblLayout w:type="fixed"/>
        <w:tblCellMar>
          <w:top w:w="0" w:type="dxa"/>
          <w:left w:w="0" w:type="dxa"/>
          <w:bottom w:w="0" w:type="dxa"/>
          <w:right w:w="0" w:type="dxa"/>
        </w:tblCellMar>
      </w:tblPr>
      <w:tblGrid>
        <w:gridCol w:w="2795"/>
        <w:gridCol w:w="120"/>
        <w:gridCol w:w="290"/>
        <w:gridCol w:w="540"/>
        <w:gridCol w:w="60"/>
        <w:gridCol w:w="120"/>
        <w:gridCol w:w="266"/>
        <w:gridCol w:w="1179"/>
        <w:gridCol w:w="60"/>
        <w:gridCol w:w="120"/>
        <w:gridCol w:w="411"/>
        <w:gridCol w:w="764"/>
        <w:gridCol w:w="60"/>
        <w:gridCol w:w="120"/>
        <w:gridCol w:w="500"/>
        <w:gridCol w:w="930"/>
        <w:gridCol w:w="7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20" w:type="dxa"/>
            <w:gridSpan w:val="14"/>
            <w:tcBorders/>
            <w:vAlign w:val="center"/>
          </w:tcPr>
          <w:p>
            <w:pPr>
              <w:pStyle w:val="TableContents"/>
              <w:bidi w:val="0"/>
              <w:spacing w:before="0" w:after="0"/>
              <w:jc w:val="center"/>
              <w:rPr>
                <w:b/>
                <w:spacing w:val="0"/>
              </w:rPr>
            </w:pPr>
            <w:r>
              <w:rPr>
                <w:b/>
                <w:spacing w:val="0"/>
              </w:rPr>
              <w:t>December 31, 2024</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0"/>
              <w:jc w:val="center"/>
              <w:rPr>
                <w:b/>
                <w:spacing w:val="0"/>
              </w:rPr>
            </w:pPr>
            <w:r>
              <w:rPr>
                <w:b/>
                <w:spacing w:val="0"/>
              </w:rPr>
              <w:t>Balance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0"/>
              <w:jc w:val="center"/>
              <w:rPr>
                <w:b/>
                <w:spacing w:val="0"/>
              </w:rPr>
            </w:pPr>
            <w:r>
              <w:rPr>
                <w:b/>
                <w:spacing w:val="0"/>
              </w:rPr>
              <w:t>Quoted Prices</w:t>
              <w:br/>
              <w:t>in Active</w:t>
              <w:br/>
              <w:t>Markets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t>
            </w:r>
          </w:p>
        </w:tc>
        <w:tc>
          <w:tcPr>
            <w:tcW w:w="540" w:type="dxa"/>
            <w:tcBorders/>
            <w:vAlign w:val="center"/>
          </w:tcPr>
          <w:p>
            <w:pPr>
              <w:pStyle w:val="TableContents"/>
              <w:bidi w:val="0"/>
              <w:spacing w:before="0" w:after="0"/>
              <w:jc w:val="right"/>
              <w:rPr/>
            </w:pPr>
            <w:r>
              <w:rPr/>
              <w:t>  </w:t>
            </w:r>
          </w:p>
          <w:p>
            <w:pPr>
              <w:pStyle w:val="TableContents"/>
              <w:bidi w:val="0"/>
              <w:spacing w:before="0" w:after="0"/>
              <w:jc w:val="right"/>
              <w:rPr>
                <w:spacing w:val="0"/>
              </w:rPr>
            </w:pPr>
            <w:r>
              <w:rPr>
                <w:spacing w:val="0"/>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right"/>
              <w:rPr/>
            </w:pPr>
            <w:r>
              <w:rPr/>
              <w:t>  </w:t>
            </w: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w:t>
            </w:r>
          </w:p>
        </w:tc>
        <w:tc>
          <w:tcPr>
            <w:tcW w:w="764" w:type="dxa"/>
            <w:tcBorders/>
            <w:vAlign w:val="center"/>
          </w:tcPr>
          <w:p>
            <w:pPr>
              <w:pStyle w:val="TableContents"/>
              <w:bidi w:val="0"/>
              <w:spacing w:before="0" w:after="283"/>
              <w:jc w:val="right"/>
              <w:rPr/>
            </w:pPr>
            <w:r>
              <w:rPr/>
              <w: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  — </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 measured at fair value</w:t>
            </w:r>
          </w:p>
        </w:tc>
        <w:tc>
          <w:tcPr>
            <w:tcW w:w="12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54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tbl>
      <w:tblPr>
        <w:tblW w:w="8410" w:type="dxa"/>
        <w:jc w:val="left"/>
        <w:tblInd w:w="0" w:type="dxa"/>
        <w:tblLayout w:type="fixed"/>
        <w:tblCellMar>
          <w:top w:w="0" w:type="dxa"/>
          <w:left w:w="0" w:type="dxa"/>
          <w:bottom w:w="0" w:type="dxa"/>
          <w:right w:w="0" w:type="dxa"/>
        </w:tblCellMar>
      </w:tblPr>
      <w:tblGrid>
        <w:gridCol w:w="2795"/>
        <w:gridCol w:w="120"/>
        <w:gridCol w:w="415"/>
        <w:gridCol w:w="415"/>
        <w:gridCol w:w="60"/>
        <w:gridCol w:w="120"/>
        <w:gridCol w:w="266"/>
        <w:gridCol w:w="1179"/>
        <w:gridCol w:w="60"/>
        <w:gridCol w:w="120"/>
        <w:gridCol w:w="411"/>
        <w:gridCol w:w="764"/>
        <w:gridCol w:w="60"/>
        <w:gridCol w:w="120"/>
        <w:gridCol w:w="500"/>
        <w:gridCol w:w="930"/>
        <w:gridCol w:w="7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420" w:type="dxa"/>
            <w:gridSpan w:val="14"/>
            <w:tcBorders/>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30" w:type="dxa"/>
            <w:gridSpan w:val="2"/>
            <w:tcBorders/>
            <w:vAlign w:val="center"/>
          </w:tcPr>
          <w:p>
            <w:pPr>
              <w:pStyle w:val="TableContents"/>
              <w:bidi w:val="0"/>
              <w:spacing w:before="0" w:after="0"/>
              <w:jc w:val="center"/>
              <w:rPr>
                <w:b/>
                <w:spacing w:val="0"/>
              </w:rPr>
            </w:pPr>
            <w:r>
              <w:rPr>
                <w:b/>
                <w:spacing w:val="0"/>
              </w:rPr>
              <w:t>Balance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45" w:type="dxa"/>
            <w:gridSpan w:val="2"/>
            <w:tcBorders/>
            <w:vAlign w:val="center"/>
          </w:tcPr>
          <w:p>
            <w:pPr>
              <w:pStyle w:val="TableContents"/>
              <w:bidi w:val="0"/>
              <w:spacing w:before="0" w:after="0"/>
              <w:jc w:val="center"/>
              <w:rPr>
                <w:b/>
                <w:spacing w:val="0"/>
              </w:rPr>
            </w:pPr>
            <w:r>
              <w:rPr>
                <w:b/>
                <w:spacing w:val="0"/>
              </w:rPr>
              <w:t>Quoted Prices</w:t>
              <w:br/>
              <w:t>in Active</w:t>
              <w:br/>
              <w:t>Markets</w:t>
              <w:br/>
              <w:t>(Level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30" w:type="dxa"/>
            <w:gridSpan w:val="2"/>
            <w:tcBorders/>
            <w:vAlign w:val="center"/>
          </w:tcPr>
          <w:p>
            <w:pPr>
              <w:pStyle w:val="TableContents"/>
              <w:bidi w:val="0"/>
              <w:spacing w:before="0" w:after="0"/>
              <w:jc w:val="center"/>
              <w:rPr>
                <w:b/>
                <w:spacing w:val="0"/>
              </w:rPr>
            </w:pPr>
            <w:r>
              <w:rPr>
                <w:b/>
                <w:spacing w:val="0"/>
              </w:rPr>
              <w:t>Significant</w:t>
              <w:br/>
              <w:t>Unobservable</w:t>
              <w:br/>
              <w:t>Inputs</w:t>
              <w:br/>
              <w:t>(Level 3)</w:t>
            </w:r>
          </w:p>
        </w:tc>
        <w:tc>
          <w:tcPr>
            <w:tcW w:w="75" w:type="dxa"/>
            <w:tcBorders/>
            <w:vAlign w:val="center"/>
          </w:tcPr>
          <w:p>
            <w:pPr>
              <w:pStyle w:val="TableContents"/>
              <w:bidi w:val="0"/>
              <w:spacing w:before="0" w:after="0"/>
              <w:jc w:val="left"/>
              <w:rPr>
                <w:spacing w:val="0"/>
              </w:rPr>
            </w:pPr>
            <w:r>
              <w:rPr>
                <w:spacing w:val="0"/>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66"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411"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w:t>
            </w:r>
          </w:p>
        </w:tc>
        <w:tc>
          <w:tcPr>
            <w:tcW w:w="415"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right"/>
              <w:rPr/>
            </w:pPr>
            <w:r>
              <w:rPr/>
              <w:t>  </w:t>
            </w: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w:t>
            </w:r>
          </w:p>
        </w:tc>
        <w:tc>
          <w:tcPr>
            <w:tcW w:w="764" w:type="dxa"/>
            <w:tcBorders/>
            <w:vAlign w:val="center"/>
          </w:tcPr>
          <w:p>
            <w:pPr>
              <w:pStyle w:val="TableContents"/>
              <w:bidi w:val="0"/>
              <w:spacing w:before="0" w:after="283"/>
              <w:jc w:val="right"/>
              <w:rPr/>
            </w:pPr>
            <w:r>
              <w:rPr/>
              <w: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w:t>
            </w:r>
          </w:p>
        </w:tc>
        <w:tc>
          <w:tcPr>
            <w:tcW w:w="930" w:type="dxa"/>
            <w:tcBorders/>
            <w:vAlign w:val="center"/>
          </w:tcPr>
          <w:p>
            <w:pPr>
              <w:pStyle w:val="TableContents"/>
              <w:bidi w:val="0"/>
              <w:spacing w:before="0" w:after="283"/>
              <w:jc w:val="right"/>
              <w:rPr/>
            </w:pPr>
            <w:r>
              <w:rPr/>
              <w:t>  — </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 measured at fair value</w:t>
            </w:r>
          </w:p>
        </w:tc>
        <w:tc>
          <w:tcPr>
            <w:tcW w:w="120" w:type="dxa"/>
            <w:tcBorders/>
            <w:shd w:fill="CCEEFF" w:val="clear"/>
            <w:vAlign w:val="center"/>
          </w:tcPr>
          <w:p>
            <w:pPr>
              <w:pStyle w:val="TableContents"/>
              <w:bidi w:val="0"/>
              <w:spacing w:before="0" w:after="283"/>
              <w:jc w:val="left"/>
              <w:rPr/>
            </w:pPr>
            <w:r>
              <w:rPr/>
              <w:t>  </w:t>
            </w:r>
          </w:p>
        </w:tc>
        <w:tc>
          <w:tcPr>
            <w:tcW w:w="415" w:type="dxa"/>
            <w:tcBorders/>
            <w:shd w:fill="CCEEFF" w:val="clear"/>
            <w:vAlign w:val="center"/>
          </w:tcPr>
          <w:p>
            <w:pPr>
              <w:pStyle w:val="TableContents"/>
              <w:bidi w:val="0"/>
              <w:spacing w:before="0" w:after="283"/>
              <w:jc w:val="left"/>
              <w:rPr/>
            </w:pPr>
            <w:r>
              <w:rPr/>
              <w:t>$</w:t>
            </w:r>
          </w:p>
        </w:tc>
        <w:tc>
          <w:tcPr>
            <w:tcW w:w="415"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financial assets carried at fair value are comprised of cash and cash equivalents. Cash and cash equivalents consist of money market accounts and bank deposits which are highly liquid and readily tradable. These assets are valued using inputs observable in active markets for identical securities.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5. Balance Sheet Components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consists of the following (in thousands): </w:t>
      </w:r>
    </w:p>
    <w:p>
      <w:pPr>
        <w:pStyle w:val="TextBody"/>
        <w:bidi w:val="0"/>
        <w:spacing w:before="0" w:after="0"/>
        <w:jc w:val="left"/>
        <w:rPr>
          <w:spacing w:val="0"/>
        </w:rPr>
      </w:pPr>
      <w:r>
        <w:rPr>
          <w:spacing w:val="0"/>
        </w:rPr>
        <w:t> </w:t>
      </w:r>
    </w:p>
    <w:tbl>
      <w:tblPr>
        <w:tblW w:w="4730" w:type="dxa"/>
        <w:jc w:val="left"/>
        <w:tblInd w:w="0" w:type="dxa"/>
        <w:tblLayout w:type="fixed"/>
        <w:tblCellMar>
          <w:top w:w="0" w:type="dxa"/>
          <w:left w:w="0" w:type="dxa"/>
          <w:bottom w:w="0" w:type="dxa"/>
          <w:right w:w="0" w:type="dxa"/>
        </w:tblCellMar>
      </w:tblPr>
      <w:tblGrid>
        <w:gridCol w:w="2645"/>
        <w:gridCol w:w="120"/>
        <w:gridCol w:w="140"/>
        <w:gridCol w:w="620"/>
        <w:gridCol w:w="155"/>
        <w:gridCol w:w="120"/>
        <w:gridCol w:w="140"/>
        <w:gridCol w:w="620"/>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Construction-in-progress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689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689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Computers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gross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714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714</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20" w:type="dxa"/>
            <w:tcBorders/>
            <w:vAlign w:val="center"/>
          </w:tcPr>
          <w:p>
            <w:pPr>
              <w:pStyle w:val="TableContents"/>
              <w:bidi w:val="0"/>
              <w:spacing w:before="0" w:after="283"/>
              <w:jc w:val="right"/>
              <w:rPr/>
            </w:pPr>
            <w:r>
              <w:rPr/>
              <w:t> </w:t>
            </w:r>
            <w:r>
              <w:rPr/>
              <w:t>689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20" w:type="dxa"/>
            <w:tcBorders/>
            <w:vAlign w:val="center"/>
          </w:tcPr>
          <w:p>
            <w:pPr>
              <w:pStyle w:val="TableContents"/>
              <w:bidi w:val="0"/>
              <w:spacing w:before="0" w:after="283"/>
              <w:jc w:val="right"/>
              <w:rPr/>
            </w:pPr>
            <w:r>
              <w:rPr/>
              <w:t> </w:t>
            </w:r>
            <w:r>
              <w:rPr/>
              <w:t>689</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recognized no depreciation expense for each of the years ended December 31, 2024 and 2023. Costs for long-lived assets not yet placed into service are capitalized as construction-in-progress and depreciated once placed into service. The Company assesses impairment on an annual basis. As of each of December 31, 2024 and 2023, there was no impairment identified on property and equipment.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consist of the following (in thousands): </w:t>
      </w:r>
    </w:p>
    <w:p>
      <w:pPr>
        <w:pStyle w:val="TextBody"/>
        <w:bidi w:val="0"/>
        <w:spacing w:before="0" w:after="0"/>
        <w:jc w:val="left"/>
        <w:rPr>
          <w:spacing w:val="0"/>
        </w:rPr>
      </w:pPr>
      <w:r>
        <w:rPr>
          <w:spacing w:val="0"/>
        </w:rPr>
        <w:t> </w:t>
      </w:r>
    </w:p>
    <w:tbl>
      <w:tblPr>
        <w:tblW w:w="5335" w:type="dxa"/>
        <w:jc w:val="left"/>
        <w:tblInd w:w="0" w:type="dxa"/>
        <w:tblLayout w:type="fixed"/>
        <w:tblCellMar>
          <w:top w:w="0" w:type="dxa"/>
          <w:left w:w="0" w:type="dxa"/>
          <w:bottom w:w="0" w:type="dxa"/>
          <w:right w:w="0" w:type="dxa"/>
        </w:tblCellMar>
      </w:tblPr>
      <w:tblGrid>
        <w:gridCol w:w="3320"/>
        <w:gridCol w:w="120"/>
        <w:gridCol w:w="140"/>
        <w:gridCol w:w="620"/>
        <w:gridCol w:w="60"/>
        <w:gridCol w:w="120"/>
        <w:gridCol w:w="140"/>
        <w:gridCol w:w="740"/>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0"/>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859</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0"/>
              <w:jc w:val="right"/>
              <w:rPr/>
            </w:pPr>
            <w:r>
              <w:rPr/>
              <w:t>—</w:t>
            </w:r>
          </w:p>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20" w:type="dxa"/>
            <w:tcBorders/>
            <w:vAlign w:val="center"/>
          </w:tcPr>
          <w:p>
            <w:pPr>
              <w:pStyle w:val="TableContents"/>
              <w:bidi w:val="0"/>
              <w:spacing w:before="0" w:after="283"/>
              <w:jc w:val="right"/>
              <w:rPr/>
            </w:pPr>
            <w:r>
              <w:rPr/>
              <w:t>  </w:t>
            </w:r>
            <w:r>
              <w:rPr/>
              <w:t>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right"/>
              <w:rPr/>
            </w:pPr>
            <w:r>
              <w:rPr/>
              <w:t>  </w:t>
            </w:r>
            <w:r>
              <w:rPr/>
              <w:t>896</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6. 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does not have any employees who are directly employed by the Company nor did it have its own stock-based compensation plans during each of the years ended December 31, 2024 and 2023, other than the 2024 Plan as described below. However, certain shared employees of Scilex support the Company and also participate in Scilex’s stock-based compensation plans that provide for the granting of stock options, NSOs, stock appreciation rights, restricted stock, restricted stock units, and other awards. Such shared employees’ time and efforts are partially spent on activities attributable to the Company and partially spent on activities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attributable to Scilex; Scilex did not have any employees whose activities are solely dedicated or solely attributable to the Company during the years ended December 31, 2024 and 2023. Total stock-based compensation recognized consists of an allocation of such shared employees’ stock-based compensation expense on the same basis as their salaries and benefits.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Separate stock-based information of the Company was not applicable due to the allocation of shared employees. The Company recognized no expense from the 2024 Plan during the year ended December 31, 2024 and did not have its own equity incentive plans during the year ended December 31, 2023. Therefore, unless otherwise indicated, the information below is with respect to the stock and stock-based compensation plans of Scilex.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Valuation Assumptions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Scilex calculates the fair value of stock options granted to employees and nonemployees and employee stock purchase plan (“ESPP”) using the Black-Scholes option pricing method. The Black-Scholes option pricing method requires the use of subjective assumptions.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assumptions were used by Scilex in the Black-Scholes option pricing model to estimate stock- based compensation on the date of grant for stock options granted and ESPP shares issued for the year ended December 31, 2024. </w:t>
      </w:r>
    </w:p>
    <w:p>
      <w:pPr>
        <w:pStyle w:val="TextBody"/>
        <w:bidi w:val="0"/>
        <w:spacing w:before="0" w:after="0"/>
        <w:jc w:val="left"/>
        <w:rPr>
          <w:spacing w:val="0"/>
        </w:rPr>
      </w:pPr>
      <w:r>
        <w:rPr>
          <w:spacing w:val="0"/>
        </w:rPr>
        <w:t> </w:t>
      </w:r>
    </w:p>
    <w:tbl>
      <w:tblPr>
        <w:tblW w:w="4390" w:type="dxa"/>
        <w:jc w:val="left"/>
        <w:tblInd w:w="0" w:type="dxa"/>
        <w:tblLayout w:type="fixed"/>
        <w:tblCellMar>
          <w:top w:w="0" w:type="dxa"/>
          <w:left w:w="0" w:type="dxa"/>
          <w:bottom w:w="0" w:type="dxa"/>
          <w:right w:w="0" w:type="dxa"/>
        </w:tblCellMar>
      </w:tblPr>
      <w:tblGrid>
        <w:gridCol w:w="2570"/>
        <w:gridCol w:w="120"/>
        <w:gridCol w:w="170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 xml:space="preserve">Year Ended </w:t>
              <w:br/>
              <w:t>December 31, 2024</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0.00%</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0"/>
              <w:jc w:val="center"/>
              <w:rPr>
                <w:spacing w:val="0"/>
              </w:rPr>
            </w:pPr>
            <w:r>
              <w:rPr>
                <w:spacing w:val="0"/>
              </w:rPr>
              <w:t>72.00%-119.08%</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3.79%-4.71%</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Term of options (in years)</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3.0 - 6.3</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Employee stock purchase plan:</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4"/>
                <w:szCs w:val="4"/>
              </w:rPr>
            </w:pPr>
            <w:r>
              <w:rPr>
                <w:sz w:val="4"/>
                <w:szCs w:val="4"/>
              </w:rPr>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0.00%</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129.30%</w:t>
            </w:r>
          </w:p>
        </w:tc>
      </w:tr>
      <w:tr>
        <w:trPr/>
        <w:tc>
          <w:tcPr>
            <w:tcW w:w="25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700" w:type="dxa"/>
            <w:tcBorders/>
            <w:shd w:fill="CCEEFF" w:val="clear"/>
            <w:vAlign w:val="center"/>
          </w:tcPr>
          <w:p>
            <w:pPr>
              <w:pStyle w:val="TableContents"/>
              <w:bidi w:val="0"/>
              <w:spacing w:before="0" w:after="283"/>
              <w:jc w:val="center"/>
              <w:rPr/>
            </w:pPr>
            <w:r>
              <w:rPr/>
              <w:t>5.39%</w:t>
            </w:r>
          </w:p>
        </w:tc>
      </w:tr>
      <w:tr>
        <w:trPr/>
        <w:tc>
          <w:tcPr>
            <w:tcW w:w="25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life (in years)</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pPr>
            <w:r>
              <w:rPr/>
              <w:t>0.50</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Total stock-based compensation expense related to Scilex’s equity incentive plans and allocated to the Company was recorded in the statements of operations as follows (in thousands): </w:t>
      </w:r>
    </w:p>
    <w:p>
      <w:pPr>
        <w:pStyle w:val="TextBody"/>
        <w:bidi w:val="0"/>
        <w:spacing w:before="0" w:after="0"/>
        <w:jc w:val="left"/>
        <w:rPr>
          <w:spacing w:val="0"/>
        </w:rPr>
      </w:pPr>
      <w:r>
        <w:rPr>
          <w:spacing w:val="0"/>
        </w:rPr>
        <w:t> </w:t>
      </w:r>
    </w:p>
    <w:tbl>
      <w:tblPr>
        <w:tblW w:w="5260" w:type="dxa"/>
        <w:jc w:val="left"/>
        <w:tblInd w:w="0" w:type="dxa"/>
        <w:tblLayout w:type="fixed"/>
        <w:tblCellMar>
          <w:top w:w="0" w:type="dxa"/>
          <w:left w:w="0" w:type="dxa"/>
          <w:bottom w:w="0" w:type="dxa"/>
          <w:right w:w="0" w:type="dxa"/>
        </w:tblCellMar>
      </w:tblPr>
      <w:tblGrid>
        <w:gridCol w:w="3365"/>
        <w:gridCol w:w="120"/>
        <w:gridCol w:w="140"/>
        <w:gridCol w:w="620"/>
        <w:gridCol w:w="60"/>
        <w:gridCol w:w="120"/>
        <w:gridCol w:w="140"/>
        <w:gridCol w:w="62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6"/>
            <w:tcBorders/>
            <w:vAlign w:val="center"/>
          </w:tcPr>
          <w:p>
            <w:pPr>
              <w:pStyle w:val="TableContents"/>
              <w:bidi w:val="0"/>
              <w:spacing w:before="0" w:after="0"/>
              <w:jc w:val="center"/>
              <w:rPr>
                <w:b/>
                <w:spacing w:val="0"/>
              </w:rPr>
            </w:pPr>
            <w:r>
              <w:rPr>
                <w:b/>
                <w:spacing w:val="0"/>
              </w:rPr>
              <w:t>Year Ended</w:t>
              <w:b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spacing w:val="0"/>
              </w:rPr>
            </w:pPr>
            <w:r>
              <w:rPr>
                <w:b/>
                <w:spacing w:val="0"/>
              </w:rPr>
              <w:t>2023</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128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532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767</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20" w:type="dxa"/>
            <w:tcBorders/>
            <w:shd w:fill="CCEEFF" w:val="clear"/>
            <w:vAlign w:val="center"/>
          </w:tcPr>
          <w:p>
            <w:pPr>
              <w:pStyle w:val="TableContents"/>
              <w:bidi w:val="0"/>
              <w:spacing w:before="0" w:after="283"/>
              <w:jc w:val="right"/>
              <w:rPr/>
            </w:pPr>
            <w:r>
              <w:rPr/>
              <w:t> </w:t>
            </w:r>
            <w:r>
              <w:rPr/>
              <w:t>840</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the total unrecognized compensation costs related to certain unvested Scilex employee stock option grants that are expected to be allocated to the Company’s future operating expenses were $1.1 million, of which the Company expects to recognize over a weighted-average period of approximately 2.3 years. This amount is subject to change based on the actual amount of time certain Scilex employees will spend providing services attributable to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Employee Stock Incentive Plan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2024 Plan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 August</w:t>
      </w:r>
    </w:p>
    <w:p>
      <w:pPr>
        <w:pStyle w:val="TextBody"/>
        <w:bidi w:val="0"/>
        <w:spacing w:before="120" w:after="0"/>
        <w:jc w:val="left"/>
        <w:rPr>
          <w:spacing w:val="0"/>
        </w:rPr>
      </w:pPr>
      <w:r>
        <w:rPr>
          <w:spacing w:val="0"/>
        </w:rPr>
        <w:t> </w:t>
      </w:r>
      <w:r>
        <w:rPr>
          <w:rFonts w:ascii="Times New Roman" w:hAnsi="Times New Roman"/>
          <w:spacing w:val="0"/>
          <w:sz w:val="20"/>
        </w:rPr>
        <w:t xml:space="preserve">30, 2024, the Company’s board of directors adopted the 2024 Plan, under which </w:t>
      </w:r>
    </w:p>
    <w:p>
      <w:pPr>
        <w:pStyle w:val="TextBody"/>
        <w:bidi w:val="0"/>
        <w:spacing w:before="120" w:after="0"/>
        <w:jc w:val="left"/>
        <w:rPr>
          <w:rFonts w:ascii="Times New Roman" w:hAnsi="Times New Roman"/>
          <w:sz w:val="20"/>
        </w:rPr>
      </w:pPr>
      <w:r>
        <w:rPr>
          <w:rFonts w:ascii="Times New Roman" w:hAnsi="Times New Roman"/>
          <w:sz w:val="20"/>
        </w:rPr>
        <w:t>50,000,000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shares of the Company’s common stock were reserved for future issuance. On the same day, NSOs to purchase an aggregate of </w:t>
      </w:r>
    </w:p>
    <w:p>
      <w:pPr>
        <w:pStyle w:val="TextBody"/>
        <w:bidi w:val="0"/>
        <w:spacing w:before="120" w:after="0"/>
        <w:jc w:val="left"/>
        <w:rPr>
          <w:rFonts w:ascii="Times New Roman" w:hAnsi="Times New Roman"/>
          <w:sz w:val="20"/>
        </w:rPr>
      </w:pPr>
      <w:r>
        <w:rPr>
          <w:rFonts w:ascii="Times New Roman" w:hAnsi="Times New Roman"/>
          <w:sz w:val="20"/>
        </w:rPr>
        <w:t>50,000,000</w:t>
      </w:r>
    </w:p>
    <w:p>
      <w:pPr>
        <w:pStyle w:val="TextBody"/>
        <w:bidi w:val="0"/>
        <w:spacing w:before="120" w:after="0"/>
        <w:jc w:val="left"/>
        <w:rPr>
          <w:rFonts w:ascii="Times New Roman" w:hAnsi="Times New Roman"/>
          <w:spacing w:val="0"/>
          <w:sz w:val="20"/>
        </w:rPr>
      </w:pPr>
      <w:r>
        <w:rPr>
          <w:rFonts w:ascii="Times New Roman" w:hAnsi="Times New Roman"/>
          <w:spacing w:val="0"/>
          <w:sz w:val="20"/>
        </w:rPr>
        <w:t>shares of the Company’s common stock were approved for grant to members of the Company’s executive team and certain Scilex employees who provide services to Semnur. The NSOs granted have an exercise price of $</w:t>
      </w:r>
    </w:p>
    <w:p>
      <w:pPr>
        <w:pStyle w:val="TextBody"/>
        <w:bidi w:val="0"/>
        <w:spacing w:before="120" w:after="0"/>
        <w:jc w:val="left"/>
        <w:rPr>
          <w:rFonts w:ascii="Times New Roman" w:hAnsi="Times New Roman"/>
          <w:sz w:val="20"/>
        </w:rPr>
      </w:pPr>
      <w:r>
        <w:rPr>
          <w:rFonts w:ascii="Times New Roman" w:hAnsi="Times New Roman"/>
          <w:sz w:val="20"/>
        </w:rPr>
        <w:t>1.26</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per share, a term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years (unless earlier terminated in accordance with the terms of the option agreement)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vest 1/48th on a monthly basis over a period of four years from the vesting commencement date as set forth in the applicable option agreement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(subject to the holder’s continuous service with the Company). The NSOs are not exercisable until the earlier to occur of (i) the approval by the shareholders of Denali of the proposal that each Semnur Option that is then outstanding shall be converted into the right to receive an option relating to New Semnur Common Stock (the “Option Exchange”) or (ii) the approval by the stockholders of Scilex of the 2024 Plan at or prior to the 2025 annual meeting of stockholders of Scilex (and notwithstanding the foregoing, the NSOs are not exercisable until all payments and all obligations under the Senior Secured Promissory Note issued to Oramed Pharmaceuticals, Inc., dated September 21, 2023 (as amended, the “Oramed Note”) have been paid in full). These NSOs are not considered to be granted under accounting rules as neither repayment of the Oramed Note nor closing of the Business Combination has occurred. As such, once the NSOs are considered granted, the total amount of stock-based compensation expense attributable to these NSOs would be determined based on their accounting grant-date fair value and to be recognized, on a tranche-by-tranche basis, over forty-eight equal monthly tranches. No expense was recorded in connection with the NSOs granted under the 2024 Plan as of December 31, 2024, as the vesting is contingent upon the repayment of (a) the Oramed Note and (b) (i) the closing of the Business Combination or (ii) the approval by the stockholders of Scilex of the 2024 Plan at or prior to the 2025 annual meeting of stockholders of Scilex.</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Consulting Agreements with Stock Renumeration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Consulting Services Agreement with 450W42ND MIMA, LLC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August 25, 2024, the Company entered into a consulting services agreement with 450W42ND MIMA, LLC who agreed to perform certain consulting and advisory services related to the Company’s business, financing, and mergers and acquisitions opportunities for a period of 12 months from the date of the agreement. In exchange for the services provided, the Company agreed to issue to 450W42ND MIMA, LLC, the lower of (a) 4.0 million shares or (b) 2% of the outstanding shares, in each case, of common stock of New Semnur</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following the consummation of the Business Combination. No expense was recorded in connection with such agreement as of December 31, 2024, as the payment of the shares is contingent upon closing of the Business Combination and no substantial work had been rendered by 450W42ND MIMA, LLC under such agreement as of December 31, 2024. The total value attributable to these shares, if issued, will be determined on the date of the Business Combination with the associated expense to be recognized over the remaining consulting service period determined at that time.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Consulting Services Agreement with Wise Orient Investments Limited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26, 2024, the Company entered into a consulting services agreement with Wise Orient Investments Limited who agreed to perform certain consulting and advisory services related to the Company’s business, financing, and mergers and acquisitions opportunities for a period of 12 months from the date of the agreement. In exchange for the services provided, the Company agreed to issue to Wise Orient Investments Limited, the lower of (a) 4.0 million shares or (b) 2% of the outstanding shares, in each case, of common stock of New Semnur following the consummation of the Business Combination. No expense was recorded in connection with such agreement as of December 31, 2024, as the payment of the shares is contingent upon closing of the Business Combination and no substantial work had been rendered by Wise Orient Investments Limited under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such agreement as of December 31, 2024. The total value attributable to these shares, if issued, will be determined on the date of the Business Combination with the associated expense to be recognized over the remaining consulting service period determined at that time.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7. Commitments and Contingencies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normal course of business, the Company may from time to time be named as a party to various legal claims, actions and complaints, including matters involving employment, intellectual property, effects from the use of therapeutics utilizing its technology, or others. It is impossible to predict with certainty whether any resulting liability would have a material adverse effect on the Company’s financial position, results of operations or cash flows. As of December 31, 2024 and 2023, the Company was not a party to any material legal proceedings with respect to itself or any of its material properties.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Semnur Merger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18, 2019, Semnur was acquired by Scilex pursuant to an Agreement and Plan of Merger with Semnur (as amended, the “Semnur Merger Agreement”), Sigma Merger Sub, Inc., a wholly owned subsidiary of Scilex (“Sigma Merger Sub”), Fortis Advisors LLC, solely as representative of the holders of the Company’s equity (the “Semnur Equityholders’ Representative”), and for limited purposes, Sorrento Therapeutics, Inc. Pursuant to the Semnur Merger Agreement, Sigma Merger Sub merged with and into the Company (the “Semnur Merger”), and the Company survived as Scilex’s wholly owned subsidiary.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Semnur Merger Agreement, and upon the terms and subject to the conditions contained therein, Scilex agreed to pay the former holders of Semnur’s capital stock (the “Semnur Equityholders”) up to $280.0 million in aggregate contingent cash consideration based on the achievement of certain milestones (which amount is expected to be charged back to Semnur through an intercompany arrangement), comprised of a $40.0 million payment that will be due upon obtaining the first approval of a NDA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To-date, none of the foregoing payments have been triggered.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Shah Assignment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6, 2013, the Company entered into an Assignment Agreement (the “Shah Assignment Agreement”) with Shah Investor LP (“Shah Investor”). Pursuant to the Shah Assignment Agreement, Shah Investor assigned to the Company the patents, know-how and other intellectual property related to pharmaceutical compositions of corticosteroids.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consideration of the license and rights granted by Shah Investor, Semnur agreed to pay royalties (i) at the rate of 1.5% of the Net Sales for Annual Net Sales (each as defined therein) up to $250,000,000 and (ii) at the rate of 2.5% of the Net Sales for Annual Net Sales of $250,000,000 and above, subject to certain adjustments as set out in the Shah Assignment Agreement. Such royalties payment for a given calendar quarter shall be due and payable on the date the royalty report for such quarter is due under the Shah Assignment Agreement. To-date, none of the foregoing payments have been triggered.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Shah Assignment Agreement continues in full force and effect on a country-by-country and product-by- product basis until royalties are no longer due on such product under the agreement. The Shah Assignment Agreement contains customary reciprocal indemnification obligations for Shah Investor and Semnur.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Subsidiary Guarantee to Oramed Note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due 18 months from the date of issuance in the principal amount of $101,875,000 (the “Oramed Note”). In connection with the Scilex-Oramed SPA, Scilex and each of its subsidiaries, including the Company, (collectively, the “Guarantors”) entered into a subsidiary guarantee (as amended, the “Subsidiary Guarantee”) with Oramed and Acquiom Agency Services LLC, as the collateral agent for the holders of the Oramed Note (the “Agent”), pursuant to which, the Guarantors have agreed to guarantee and act as surety for payment of the Oramed Note and any additional notes issued by Scilex in full or partial substitution of the Oramed Note. Following the execution of the amended and restated security agreement with Oramed on October 8, 2024, and subject to the completion of the Business Combination, the Company will no longer be a Guarantor under the Subs</w:t>
      </w:r>
    </w:p>
    <w:p>
      <w:pPr>
        <w:pStyle w:val="TextBody"/>
        <w:bidi w:val="0"/>
        <w:spacing w:before="120" w:after="0"/>
        <w:jc w:val="left"/>
        <w:rPr>
          <w:rFonts w:ascii="Times New Roman" w:hAnsi="Times New Roman"/>
          <w:spacing w:val="0"/>
          <w:sz w:val="20"/>
        </w:rPr>
      </w:pPr>
      <w:r>
        <w:rPr>
          <w:rFonts w:ascii="Times New Roman" w:hAnsi="Times New Roman"/>
          <w:spacing w:val="0"/>
          <w:sz w:val="20"/>
        </w:rPr>
        <w:t>idi</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ary Guarantee.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8.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For U.S. federal and state tax reporting purposes, the Company is a member of Scilex’s consolidated reporting group. The basis of presentation for these financial statements is on a separate standalone basis as if the Company were not a member of a consolidated group and was operating as an independent entity. Settlements of tax balances that differ from the separate entity computations are treated as either increases or decreases in equity. There were no settlements of tax balances between the entity and the Scilex during the periods presented. Total loss before income taxes for the years ended December 31, 2024 and 2023 did not include a foreign component. There was no income tax provision expense (benefit) for the years ended December 31, 2024 and 2023.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Deferred</w:t>
      </w:r>
    </w:p>
    <w:p>
      <w:pPr>
        <w:pStyle w:val="TextBody"/>
        <w:bidi w:val="0"/>
        <w:spacing w:before="240" w:after="0"/>
        <w:jc w:val="left"/>
        <w:rPr>
          <w:spacing w:val="0"/>
        </w:rPr>
      </w:pPr>
      <w:r>
        <w:rPr>
          <w:spacing w:val="0"/>
        </w:rPr>
        <w:t> </w:t>
      </w:r>
      <w:r>
        <w:rPr>
          <w:rFonts w:ascii="Times New Roman" w:hAnsi="Times New Roman"/>
          <w:spacing w:val="0"/>
          <w:sz w:val="20"/>
        </w:rPr>
        <w:t xml:space="preserve">income taxes reflect the net tax effects of temporary differences between the carrying amounts of assets and liabilities for financial reporting purposes and the amounts used for income tax purposes.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components of the Company’s net deferred tax assets and related valuation allowance are as follows as of December 31, 2024 and 2023 (in thousands):</w:t>
      </w:r>
    </w:p>
    <w:p>
      <w:pPr>
        <w:pStyle w:val="TextBody"/>
        <w:bidi w:val="0"/>
        <w:spacing w:before="0" w:after="0"/>
        <w:jc w:val="left"/>
        <w:rPr>
          <w:spacing w:val="0"/>
        </w:rPr>
      </w:pPr>
      <w:r>
        <w:rPr>
          <w:spacing w:val="0"/>
        </w:rPr>
        <w:t> </w:t>
      </w:r>
    </w:p>
    <w:tbl>
      <w:tblPr>
        <w:tblW w:w="7308" w:type="dxa"/>
        <w:jc w:val="left"/>
        <w:tblInd w:w="0" w:type="dxa"/>
        <w:tblLayout w:type="fixed"/>
        <w:tblCellMar>
          <w:top w:w="0" w:type="dxa"/>
          <w:left w:w="0" w:type="dxa"/>
          <w:bottom w:w="0" w:type="dxa"/>
          <w:right w:w="0" w:type="dxa"/>
        </w:tblCellMar>
      </w:tblPr>
      <w:tblGrid>
        <w:gridCol w:w="3740"/>
        <w:gridCol w:w="120"/>
        <w:gridCol w:w="228"/>
        <w:gridCol w:w="1231"/>
        <w:gridCol w:w="203"/>
        <w:gridCol w:w="157"/>
        <w:gridCol w:w="227"/>
        <w:gridCol w:w="1232"/>
        <w:gridCol w:w="170"/>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8" w:type="dxa"/>
            <w:gridSpan w:val="6"/>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operating loss carryforwards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231" w:type="dxa"/>
            <w:tcBorders/>
            <w:vAlign w:val="center"/>
          </w:tcPr>
          <w:p>
            <w:pPr>
              <w:pStyle w:val="TableContents"/>
              <w:bidi w:val="0"/>
              <w:spacing w:before="0" w:after="283"/>
              <w:jc w:val="right"/>
              <w:rPr/>
            </w:pPr>
            <w:r>
              <w:rPr/>
              <w:t>14,517</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13,710</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tax credits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1,319</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1,319</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research expenditures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807</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648</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720</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841</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deferred tax assets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17,363</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16,518</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(17,363</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(16,518</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 net of valuation allowance</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tax assets</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w:t>
            </w:r>
          </w:p>
        </w:tc>
        <w:tc>
          <w:tcPr>
            <w:tcW w:w="123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3"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reconciliation between U.S. federal income taxes at the statutory rate and the Company’s provision for income taxes are as follows for the years ended December 31, 2024 and 2023: </w:t>
      </w:r>
    </w:p>
    <w:p>
      <w:pPr>
        <w:pStyle w:val="TextBody"/>
        <w:bidi w:val="0"/>
        <w:spacing w:before="0" w:after="0"/>
        <w:jc w:val="left"/>
        <w:rPr>
          <w:spacing w:val="0"/>
        </w:rPr>
      </w:pPr>
      <w:r>
        <w:rPr>
          <w:spacing w:val="0"/>
        </w:rPr>
        <w:t> </w:t>
      </w:r>
    </w:p>
    <w:tbl>
      <w:tblPr>
        <w:tblW w:w="6615" w:type="dxa"/>
        <w:jc w:val="left"/>
        <w:tblInd w:w="0" w:type="dxa"/>
        <w:tblLayout w:type="fixed"/>
        <w:tblCellMar>
          <w:top w:w="0" w:type="dxa"/>
          <w:left w:w="0" w:type="dxa"/>
          <w:bottom w:w="0" w:type="dxa"/>
          <w:right w:w="0" w:type="dxa"/>
        </w:tblCellMar>
      </w:tblPr>
      <w:tblGrid>
        <w:gridCol w:w="2675"/>
        <w:gridCol w:w="120"/>
        <w:gridCol w:w="151"/>
        <w:gridCol w:w="1308"/>
        <w:gridCol w:w="503"/>
        <w:gridCol w:w="109"/>
        <w:gridCol w:w="150"/>
        <w:gridCol w:w="1309"/>
        <w:gridCol w:w="29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30" w:type="dxa"/>
            <w:gridSpan w:val="6"/>
            <w:tcBorders/>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Statutory federal income tax rate</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21.0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 compensation</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(3.0</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(5.4</w:t>
            </w:r>
          </w:p>
        </w:tc>
        <w:tc>
          <w:tcPr>
            <w:tcW w:w="29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(18.0</w:t>
            </w:r>
          </w:p>
        </w:tc>
        <w:tc>
          <w:tcPr>
            <w:tcW w:w="50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(15.6</w:t>
            </w:r>
          </w:p>
        </w:tc>
        <w:tc>
          <w:tcPr>
            <w:tcW w:w="290"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Effective income tax rate</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0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files its tax returns on a consolidated or combined basis with Scilex. For purposes of its financial statements, the Company has calculated its income tax amounts, including net operating losses and credit carryforwards, using a separate return methodology and has presented these amounts as if it were a separate taxpayer from Scilex in each jurisdiction for each period the Company has presented. The Company has not determined the amount of tax attributes, including net operating losses and tax credit carryovers, which it would retain if it were to deconsolidate for tax purposes from Scilex. An analysis will be performed at a future date, if necessary.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evaluated the available evidence supporting the realization of its gross deferred tax assets, including the amount and timing of future taxable income, and has determined that it is more likely than not that the deferred tax assets will not be realized. Due to such uncertainties surrounding the realization of the deferred tax assets, the Company maintains a valuation allowance of $17.4 million against its deferred tax assets as of December 31, 2024. Realization of the deferred tax assets will be primarily dependent upon the Company’s ability to generate sufficient taxable income prior to the expiration of its net operating losses.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As of December 31, 2024, the Company had $60.2 million and $26.9 million of U.S. federal and state net operating loss carryforwards, respectively. Both federal and state net operating loss carryforwards begin to expire in 2033. As of December 31, 2024, the Company has a total of $49.9 million of federal net operating losses that have an indefinite life and will not expire, and had federal research and development income tax credits of $1.2 million which will begin to expire in 2033. As of December 31, 2024, the Company had California research and development income tax credits of $0.6 million that have indefinite life and will not expire.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Internal Revenue Code Section 382 (“Section 382”) rules apply to limit a corporation’s ability to utilize existing net operating loss and tax credit carryforwards once the corporation experiences an ownership change as defined in Section 382. The Company has undergone ownership changes for purposes of Section 382 in prior years. The ownership changes may result in limitations on the utilization of certain deferred tax assets in future periods of which the Company is carrying a full valuation allowance against. If any deferred tax assets were to expire unused because of Section 382 limitations, there would be a corresponding adjustment to the related valuation allowance. As of December 31, 2024, no net operating losses have been written off as expired as the separate Section 382 limitation for the Company has not been quantified.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taxation in U.S. federal and state tax jurisdictions. All of the Company’s tax years will remain open for three years for examination by the federal and state tax authorities from the date of utilizations of net operating loss. There are no active tax compliance audits as of December 31, 2024.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F-2</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 reconciliation of the beginning and ending amount of unrecognized tax benefits is as follows for the years ended December 31, 2024 and 2023 (in thousands): </w:t>
      </w:r>
    </w:p>
    <w:p>
      <w:pPr>
        <w:pStyle w:val="TextBody"/>
        <w:bidi w:val="0"/>
        <w:spacing w:before="0" w:after="0"/>
        <w:jc w:val="left"/>
        <w:rPr>
          <w:spacing w:val="0"/>
        </w:rPr>
      </w:pPr>
      <w:r>
        <w:rPr>
          <w:spacing w:val="0"/>
        </w:rPr>
        <w:t> </w:t>
      </w:r>
    </w:p>
    <w:tbl>
      <w:tblPr>
        <w:tblW w:w="7831" w:type="dxa"/>
        <w:jc w:val="left"/>
        <w:tblInd w:w="0" w:type="dxa"/>
        <w:tblLayout w:type="fixed"/>
        <w:tblCellMar>
          <w:top w:w="0" w:type="dxa"/>
          <w:left w:w="0" w:type="dxa"/>
          <w:bottom w:w="0" w:type="dxa"/>
          <w:right w:w="0" w:type="dxa"/>
        </w:tblCellMar>
      </w:tblPr>
      <w:tblGrid>
        <w:gridCol w:w="4910"/>
        <w:gridCol w:w="120"/>
        <w:gridCol w:w="224"/>
        <w:gridCol w:w="995"/>
        <w:gridCol w:w="96"/>
        <w:gridCol w:w="192"/>
        <w:gridCol w:w="224"/>
        <w:gridCol w:w="995"/>
        <w:gridCol w:w="75"/>
      </w:tblGrid>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6"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unrecognized tax benefits at the beginning of the year</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 </w:t>
            </w:r>
            <w:r>
              <w:rPr/>
              <w:t>354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 </w:t>
            </w:r>
            <w:r>
              <w:rPr/>
              <w:t>354</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unrecognized tax benefits at the end of the year</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354</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354</w:t>
            </w:r>
          </w:p>
        </w:tc>
        <w:tc>
          <w:tcPr>
            <w:tcW w:w="7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2024 and 2023, the Company had $0.4 million in total unrecognized tax benefits, which have been reflected as a reduction in deferred tax assets. If these were to be recognized, they would affect the effective tax rate, however given the full valuation allowance, any changes to uncertain tax positions would not impact the effective tax rate.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policy is to recognize interest and penalties related to income tax matters in income tax expense. No interest or penalties have been recognized as of and for the periods ended December 31, 2024 and 2023. The Company believes that no material amount of the liabilities for uncertain tax positions are expected to reverse within 12 months of December 31, 2024.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9. Related Parties </w:t>
      </w:r>
    </w:p>
    <w:p>
      <w:pPr>
        <w:pStyle w:val="TextBody"/>
        <w:bidi w:val="0"/>
        <w:spacing w:before="120" w:after="0"/>
        <w:jc w:val="left"/>
        <w:rPr>
          <w:rFonts w:ascii="Times New Roman" w:hAnsi="Times New Roman"/>
          <w:sz w:val="20"/>
        </w:rPr>
      </w:pPr>
      <w:r>
        <w:rPr>
          <w:rFonts w:ascii="Times New Roman" w:hAnsi="Times New Roman"/>
          <w:sz w:val="20"/>
        </w:rPr>
        <w:t>Transactions entered into between the Company and Scilex were included within the financial statements and are considered related party transactions. These transactions have been reflected as related party loans, a long-term liability, within the balance sheets and statements of cash flows as they represent a form of indebtedness under the Debt Exchange Agreement. See the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Basis of Presentation</w:t>
      </w:r>
    </w:p>
    <w:p>
      <w:pPr>
        <w:pStyle w:val="TextBody"/>
        <w:bidi w:val="0"/>
        <w:spacing w:before="120" w:after="0"/>
        <w:jc w:val="left"/>
        <w:rPr/>
      </w:pPr>
      <w:r>
        <w:rPr/>
        <w:t xml:space="preserve">” </w:t>
      </w:r>
      <w:r>
        <w:rPr>
          <w:rFonts w:ascii="Times New Roman" w:hAnsi="Times New Roman"/>
          <w:sz w:val="20"/>
        </w:rPr>
        <w:t xml:space="preserve">section of Note 1 for additional details. The total loans received from Scilex for the years ended December 31, 2024 and 2023 are as follows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369"/>
        <w:gridCol w:w="120"/>
        <w:gridCol w:w="210"/>
        <w:gridCol w:w="1022"/>
        <w:gridCol w:w="90"/>
        <w:gridCol w:w="180"/>
        <w:gridCol w:w="227"/>
        <w:gridCol w:w="909"/>
        <w:gridCol w:w="78"/>
      </w:tblGrid>
      <w:tr>
        <w:trPr/>
        <w:tc>
          <w:tcPr>
            <w:tcW w:w="73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73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8" w:type="dxa"/>
            <w:gridSpan w:val="6"/>
            <w:tcBorders/>
            <w:vAlign w:val="center"/>
          </w:tcPr>
          <w:p>
            <w:pPr>
              <w:pStyle w:val="TableContents"/>
              <w:bidi w:val="0"/>
              <w:spacing w:before="0" w:after="0"/>
              <w:jc w:val="center"/>
              <w:rPr>
                <w:b/>
                <w:spacing w:val="0"/>
              </w:rPr>
            </w:pPr>
            <w:r>
              <w:rPr>
                <w:b/>
                <w:spacing w:val="0"/>
              </w:rPr>
              <w:t>Year Ended December 31,</w:t>
            </w:r>
          </w:p>
        </w:tc>
        <w:tc>
          <w:tcPr>
            <w:tcW w:w="78" w:type="dxa"/>
            <w:tcBorders/>
            <w:vAlign w:val="center"/>
          </w:tcPr>
          <w:p>
            <w:pPr>
              <w:pStyle w:val="TableContents"/>
              <w:bidi w:val="0"/>
              <w:spacing w:before="0" w:after="283"/>
              <w:jc w:val="left"/>
              <w:rPr/>
            </w:pPr>
            <w:r>
              <w:rPr/>
              <w:t> </w:t>
            </w:r>
          </w:p>
        </w:tc>
      </w:tr>
      <w:tr>
        <w:trPr/>
        <w:tc>
          <w:tcPr>
            <w:tcW w:w="73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78" w:type="dxa"/>
            <w:tcBorders/>
            <w:vAlign w:val="center"/>
          </w:tcPr>
          <w:p>
            <w:pPr>
              <w:pStyle w:val="TableContents"/>
              <w:bidi w:val="0"/>
              <w:spacing w:before="0" w:after="283"/>
              <w:jc w:val="left"/>
              <w:rPr/>
            </w:pPr>
            <w:r>
              <w:rPr/>
              <w:t> </w:t>
            </w:r>
          </w:p>
        </w:tc>
      </w:tr>
      <w:tr>
        <w:trPr/>
        <w:tc>
          <w:tcPr>
            <w:tcW w:w="736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from Scilex Holding Company — stock-based compensation</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660</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840</w:t>
            </w:r>
          </w:p>
        </w:tc>
        <w:tc>
          <w:tcPr>
            <w:tcW w:w="78" w:type="dxa"/>
            <w:tcBorders/>
            <w:shd w:fill="CCEEFF" w:val="clear"/>
            <w:vAlign w:val="center"/>
          </w:tcPr>
          <w:p>
            <w:pPr>
              <w:pStyle w:val="TableContents"/>
              <w:bidi w:val="0"/>
              <w:spacing w:before="0" w:after="283"/>
              <w:jc w:val="left"/>
              <w:rPr/>
            </w:pPr>
            <w:r>
              <w:rPr/>
              <w:t> </w:t>
            </w:r>
          </w:p>
        </w:tc>
      </w:tr>
      <w:tr>
        <w:trPr/>
        <w:tc>
          <w:tcPr>
            <w:tcW w:w="736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from Scilex Holding Company — expenses paid by Scilex Holding Company on behalf of Semnur</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10,872</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1,661</w:t>
            </w:r>
          </w:p>
        </w:tc>
        <w:tc>
          <w:tcPr>
            <w:tcW w:w="78"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6396" w:type="dxa"/>
        <w:jc w:val="left"/>
        <w:tblInd w:w="0" w:type="dxa"/>
        <w:tblLayout w:type="fixed"/>
        <w:tblCellMar>
          <w:top w:w="0" w:type="dxa"/>
          <w:left w:w="0" w:type="dxa"/>
          <w:bottom w:w="0" w:type="dxa"/>
          <w:right w:w="0" w:type="dxa"/>
        </w:tblCellMar>
      </w:tblPr>
      <w:tblGrid>
        <w:gridCol w:w="3485"/>
        <w:gridCol w:w="120"/>
        <w:gridCol w:w="382"/>
        <w:gridCol w:w="882"/>
        <w:gridCol w:w="77"/>
        <w:gridCol w:w="154"/>
        <w:gridCol w:w="180"/>
        <w:gridCol w:w="1041"/>
        <w:gridCol w:w="75"/>
      </w:tblGrid>
      <w:tr>
        <w:trPr/>
        <w:tc>
          <w:tcPr>
            <w:tcW w:w="3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0"/>
              <w:jc w:val="center"/>
              <w:rPr>
                <w:spacing w:val="0"/>
              </w:rPr>
            </w:pPr>
            <w:r>
              <w:rPr>
                <w:spacing w:val="0"/>
              </w:rPr>
              <w:t>  </w:t>
            </w:r>
            <w:r>
              <w:rPr>
                <w:b/>
                <w:spacing w:val="0"/>
              </w:rPr>
              <w:t>2024  </w:t>
            </w:r>
          </w:p>
        </w:tc>
        <w:tc>
          <w:tcPr>
            <w:tcW w:w="77"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21"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loans from Scilex Holding Company</w:t>
            </w:r>
          </w:p>
        </w:tc>
        <w:tc>
          <w:tcPr>
            <w:tcW w:w="12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r>
              <w:rPr/>
              <w:t>$</w:t>
            </w:r>
          </w:p>
        </w:tc>
        <w:tc>
          <w:tcPr>
            <w:tcW w:w="882" w:type="dxa"/>
            <w:tcBorders/>
            <w:shd w:fill="CCEEFF" w:val="clear"/>
            <w:vAlign w:val="center"/>
          </w:tcPr>
          <w:p>
            <w:pPr>
              <w:pStyle w:val="TableContents"/>
              <w:bidi w:val="0"/>
              <w:spacing w:before="0" w:after="283"/>
              <w:jc w:val="right"/>
              <w:rPr/>
            </w:pPr>
            <w:r>
              <w:rPr/>
              <w:t>11,532</w:t>
            </w:r>
          </w:p>
        </w:tc>
        <w:tc>
          <w:tcPr>
            <w:tcW w:w="77"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 </w:t>
            </w:r>
            <w:r>
              <w:rPr/>
              <w:t>2,501</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Debt Exchange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August 30, 2024, the Company and Scilex entered into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(the “Outstanding Indebtedness”). The Outstanding Indebtedness as of December 31, 2024 and 2023 was approximately $49,433,467 and $37,900,873, respectively, but will not exceed $60,000,000 as of immediately prior to the closing of the Business Combination.</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Pursuant to the Debt Exchange Agreement, effective as of immediately prior to, and contingent upon, the closing of the Business Combination, Scilex agreed to contribute the Outstanding Indebtedness (as set forth in the Debt Exchange Agreement) to the Company in exchange for the issuance by the Company to Scilex of that number of shares of Series A Preferred Stock, par value $0.0001 per share, of the Company (subject to adjustment for recapitalizations, stock splits, stock dividends and similar transactions) (the “Series A Preferred Shares” and such transaction, the “Contribution”) that is equal to </w:t>
      </w:r>
    </w:p>
    <w:p>
      <w:pPr>
        <w:pStyle w:val="TextBody"/>
        <w:bidi w:val="0"/>
        <w:spacing w:before="0" w:after="0"/>
        <w:jc w:val="left"/>
        <w:rPr>
          <w:rFonts w:ascii="Times New Roman" w:hAnsi="Times New Roman"/>
          <w:sz w:val="20"/>
        </w:rPr>
      </w:pPr>
      <w:r>
        <w:rPr>
          <w:rFonts w:ascii="Times New Roman" w:hAnsi="Times New Roman"/>
          <w:sz w:val="20"/>
        </w:rPr>
        <w:t>(a) the sum of the aggregate amount of the Outstanding Indebtedness and the amount that is equal to 10% of such aggregate amount of the Outstanding Indebtedness divided by (b) $11.00 (rounded up to the nearest whole share).</w:t>
      </w:r>
    </w:p>
    <w:p>
      <w:pPr>
        <w:pStyle w:val="TextBody"/>
        <w:bidi w:val="0"/>
        <w:spacing w:before="0" w:after="0"/>
        <w:jc w:val="left"/>
        <w:rPr>
          <w:rFonts w:ascii="Times New Roman" w:hAnsi="Times New Roman"/>
          <w:spacing w:val="0"/>
          <w:sz w:val="20"/>
        </w:rPr>
      </w:pPr>
      <w:r>
        <w:rPr>
          <w:rFonts w:ascii="Times New Roman" w:hAnsi="Times New Roman"/>
          <w:spacing w:val="0"/>
          <w:sz w:val="20"/>
        </w:rPr>
        <w:t>Further, pursuant to the terms of the Debt Exchange Agreement, prior to the Contribution, the Company agreed to file, with the Secretary of State of the State of Delaware, a certificate of designations, in the form agreed in the Debt Exchange Agreement, to set forth the designations, powers, rights and preferences and qualifications, limitations and restrictions of the Series A Preferred Shares. Upon the occurrence of the Contribution and issuance of the Series A Preferred Shares to Scilex, the Outstanding Indebtedness shall be extinguished in its entirety and shall be of no further force or effect and shall be deemed paid and satisfied in full and irrevocably and automatically discharged, terminated and released.</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10. Net Loss Per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Share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and diluted net loss per share is computed by dividing net loss by the weighted-average number of common stock outstanding for the period. For periods in which the Company generated a net loss, the Company does not include the potential impact of dilutive securities in diluted net loss per share, as the impact of these items is anti-dilutive. Specifically, NSOs granted under the 2024 Plan to purchase an aggregate of 50,000,000 shares of the Company’s common stock were considered anti-dilutive and therefore were excluded from the computation of diluted net loss per share for the year ended December 31, 2024. There were no outstanding securities considered anti-dilutive for computation of diluted net loss per share for the year ended December 31, 2023. </w:t>
      </w:r>
    </w:p>
    <w:p>
      <w:pPr>
        <w:pStyle w:val="TextBody"/>
        <w:bidi w:val="0"/>
        <w:spacing w:before="0" w:after="0"/>
        <w:jc w:val="left"/>
        <w:rPr>
          <w:spacing w:val="0"/>
        </w:rPr>
      </w:pPr>
      <w:r>
        <w:rPr>
          <w:spacing w:val="0"/>
        </w:rPr>
        <w:t> </w:t>
      </w:r>
    </w:p>
    <w:tbl>
      <w:tblPr>
        <w:tblW w:w="9335" w:type="dxa"/>
        <w:jc w:val="left"/>
        <w:tblInd w:w="0" w:type="dxa"/>
        <w:tblLayout w:type="fixed"/>
        <w:tblCellMar>
          <w:top w:w="0" w:type="dxa"/>
          <w:left w:w="0" w:type="dxa"/>
          <w:bottom w:w="0" w:type="dxa"/>
          <w:right w:w="0" w:type="dxa"/>
        </w:tblCellMar>
      </w:tblPr>
      <w:tblGrid>
        <w:gridCol w:w="6050"/>
        <w:gridCol w:w="120"/>
        <w:gridCol w:w="140"/>
        <w:gridCol w:w="1220"/>
        <w:gridCol w:w="155"/>
        <w:gridCol w:w="120"/>
        <w:gridCol w:w="140"/>
        <w:gridCol w:w="1220"/>
        <w:gridCol w:w="170"/>
      </w:tblGrid>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(4,690</w:t>
            </w:r>
          </w:p>
        </w:tc>
        <w:tc>
          <w:tcPr>
            <w:tcW w:w="155"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(3,261</w:t>
            </w:r>
          </w:p>
        </w:tc>
        <w:tc>
          <w:tcPr>
            <w:tcW w:w="170" w:type="dxa"/>
            <w:tcBorders/>
            <w:shd w:fill="CCEEFF" w:val="clear"/>
            <w:vAlign w:val="center"/>
          </w:tcPr>
          <w:p>
            <w:pPr>
              <w:pStyle w:val="TableContents"/>
              <w:bidi w:val="0"/>
              <w:spacing w:before="0" w:after="0"/>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(0.02</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(0.02</w:t>
            </w:r>
          </w:p>
        </w:tc>
        <w:tc>
          <w:tcPr>
            <w:tcW w:w="170" w:type="dxa"/>
            <w:tcBorders/>
            <w:vAlign w:val="center"/>
          </w:tcPr>
          <w:p>
            <w:pPr>
              <w:pStyle w:val="TableContents"/>
              <w:bidi w:val="0"/>
              <w:spacing w:before="0" w:after="0"/>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during the period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200,000,000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200,000,000</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11. Subsequent Events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completed an evaluation of all subsequent events through the date these financial statements were issued, to ensure these financial statements include appropriate disclosure of events both recognized in the financial statements and events which occurred but were not recognized in the financial statements. The Company has concluded that no events or transactions have occurred that require disclosure.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Merger Agreement Amendment, among other things, parties agreed to (i) modify certain covenants of the parties to address the potential delisting of the Denali Securities from the Nasdaq Capital Market, (ii) extend the Outside Date to September 30, 2025, and (iii) require Denali to amend its organizational documents to extend the period of time within which Denali can complete a business combination to December 11, 2025, or such other date that is mutually agreed to by the Company and Denali.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810"/>
        <w:gridCol w:w="120"/>
        <w:gridCol w:w="203"/>
        <w:gridCol w:w="1272"/>
        <w:gridCol w:w="155"/>
        <w:gridCol w:w="60"/>
        <w:gridCol w:w="195"/>
        <w:gridCol w:w="1220"/>
        <w:gridCol w:w="170"/>
      </w:tblGrid>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center"/>
              <w:rPr>
                <w:b/>
                <w:spacing w:val="0"/>
              </w:rPr>
            </w:pPr>
            <w:r>
              <w:rPr>
                <w:b/>
                <w:spacing w:val="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0"/>
              <w:jc w:val="left"/>
              <w:rPr/>
            </w:pPr>
            <w:r>
              <w:rPr/>
              <w:t>$</w:t>
            </w:r>
          </w:p>
        </w:tc>
        <w:tc>
          <w:tcPr>
            <w:tcW w:w="1272" w:type="dxa"/>
            <w:tcBorders/>
            <w:shd w:fill="CCEEFF" w:val="clear"/>
            <w:vAlign w:val="center"/>
          </w:tcPr>
          <w:p>
            <w:pPr>
              <w:pStyle w:val="TableContents"/>
              <w:bidi w:val="0"/>
              <w:spacing w:before="0" w:after="0"/>
              <w:jc w:val="right"/>
              <w:rPr/>
            </w:pPr>
            <w:r>
              <w:rPr/>
              <w:t>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5,981</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current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5,995</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689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689</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assets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pPr>
            <w:r>
              <w:rPr/>
              <w:t>$</w:t>
            </w:r>
          </w:p>
        </w:tc>
        <w:tc>
          <w:tcPr>
            <w:tcW w:w="1272" w:type="dxa"/>
            <w:tcBorders/>
            <w:vAlign w:val="center"/>
          </w:tcPr>
          <w:p>
            <w:pPr>
              <w:pStyle w:val="TableContents"/>
              <w:bidi w:val="0"/>
              <w:spacing w:before="0" w:after="0"/>
              <w:jc w:val="right"/>
              <w:rPr/>
            </w:pPr>
            <w:r>
              <w:rPr/>
              <w:t>774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6,684</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center"/>
              <w:rPr>
                <w:b/>
                <w:spacing w:val="0"/>
              </w:rPr>
            </w:pPr>
            <w:r>
              <w:rPr>
                <w:b/>
                <w:spacing w:val="0"/>
              </w:rPr>
              <w:t>LIABILITIES AND STOCKHOLDERS’ DEFICIT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4,288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1,266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35</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Promissory notes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4,478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current 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10,032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35</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Related party loan</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5,335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49,433</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15,367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49,468</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Commitments and contingencies (See Note 4)</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4"/>
                <w:szCs w:val="4"/>
              </w:rPr>
            </w:pPr>
            <w:r>
              <w:rPr>
                <w:sz w:val="4"/>
                <w:szCs w:val="4"/>
              </w:rPr>
            </w:r>
          </w:p>
        </w:tc>
        <w:tc>
          <w:tcPr>
            <w:tcW w:w="127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Stockholders’ deficit: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$0.0001 par value, 45,000,000 shares authorized as of September 30, 2025 and December 31, 2024; 5,423,606 and no shares issued and outstanding as of September 30, 2025 and December 31, 2024, respectively</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$0.0001 par value, 740,000,000 and 200,000,000 shares authorized as of September 30, 2025 and December 31, 2024, respectively; 229,740,978 and 200,000,000 issued and outstanding as of September 30, 2025 and December 31, 2024, respectively</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255,025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72,580</w:t>
            </w:r>
          </w:p>
        </w:tc>
        <w:tc>
          <w:tcPr>
            <w:tcW w:w="170" w:type="dxa"/>
            <w:tcBorders/>
            <w:shd w:fill="CCEEFF" w:val="cle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2" w:type="dxa"/>
            <w:tcBorders/>
            <w:vAlign w:val="center"/>
          </w:tcPr>
          <w:p>
            <w:pPr>
              <w:pStyle w:val="TableContents"/>
              <w:bidi w:val="0"/>
              <w:spacing w:before="0" w:after="0"/>
              <w:jc w:val="right"/>
              <w:rPr/>
            </w:pPr>
            <w:r>
              <w:rPr/>
              <w:t>(269,642</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(115,384</w:t>
            </w:r>
          </w:p>
        </w:tc>
        <w:tc>
          <w:tcPr>
            <w:tcW w:w="170" w:type="dxa"/>
            <w:tcBorders/>
            <w:vAlign w:val="center"/>
          </w:tcPr>
          <w:p>
            <w:pPr>
              <w:pStyle w:val="TableContents"/>
              <w:bidi w:val="0"/>
              <w:spacing w:before="0" w:after="0"/>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0"/>
              <w:jc w:val="right"/>
              <w:rPr/>
            </w:pPr>
            <w:r>
              <w:rPr/>
              <w:t>(14,593</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(42,784</w:t>
            </w:r>
          </w:p>
        </w:tc>
        <w:tc>
          <w:tcPr>
            <w:tcW w:w="170" w:type="dxa"/>
            <w:tcBorders/>
            <w:shd w:fill="CCEEFF" w:val="clear"/>
            <w:vAlign w:val="center"/>
          </w:tcPr>
          <w:p>
            <w:pPr>
              <w:pStyle w:val="TableContents"/>
              <w:bidi w:val="0"/>
              <w:spacing w:before="0" w:after="0"/>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 and stockholders’ deficit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pPr>
            <w:r>
              <w:rPr/>
              <w:t>$</w:t>
            </w:r>
          </w:p>
        </w:tc>
        <w:tc>
          <w:tcPr>
            <w:tcW w:w="1272" w:type="dxa"/>
            <w:tcBorders/>
            <w:vAlign w:val="center"/>
          </w:tcPr>
          <w:p>
            <w:pPr>
              <w:pStyle w:val="TableContents"/>
              <w:bidi w:val="0"/>
              <w:spacing w:before="0" w:after="0"/>
              <w:jc w:val="right"/>
              <w:rPr/>
            </w:pPr>
            <w:r>
              <w:rPr/>
              <w:t>774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6,684</w:t>
            </w:r>
          </w:p>
        </w:tc>
        <w:tc>
          <w:tcPr>
            <w:tcW w:w="170"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the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OPERATIONS AND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864"/>
        <w:gridCol w:w="120"/>
        <w:gridCol w:w="174"/>
        <w:gridCol w:w="1530"/>
        <w:gridCol w:w="193"/>
        <w:gridCol w:w="74"/>
        <w:gridCol w:w="174"/>
        <w:gridCol w:w="1534"/>
        <w:gridCol w:w="155"/>
        <w:gridCol w:w="60"/>
        <w:gridCol w:w="150"/>
        <w:gridCol w:w="1310"/>
        <w:gridCol w:w="166"/>
        <w:gridCol w:w="64"/>
        <w:gridCol w:w="150"/>
        <w:gridCol w:w="1310"/>
        <w:gridCol w:w="177"/>
      </w:tblGrid>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6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9" w:type="dxa"/>
            <w:gridSpan w:val="6"/>
            <w:tcBorders/>
            <w:vAlign w:val="center"/>
          </w:tcPr>
          <w:p>
            <w:pPr>
              <w:pStyle w:val="TableContents"/>
              <w:bidi w:val="0"/>
              <w:spacing w:before="0" w:after="0"/>
              <w:jc w:val="center"/>
              <w:rPr>
                <w:b/>
                <w:spacing w:val="0"/>
              </w:rPr>
            </w:pPr>
            <w:r>
              <w:rPr>
                <w:b/>
                <w:spacing w:val="0"/>
              </w:rPr>
              <w:t>Three Months Ended 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0" w:type="dxa"/>
            <w:gridSpan w:val="6"/>
            <w:tcBorders/>
            <w:vAlign w:val="center"/>
          </w:tcPr>
          <w:p>
            <w:pPr>
              <w:pStyle w:val="TableContents"/>
              <w:bidi w:val="0"/>
              <w:spacing w:before="0" w:after="0"/>
              <w:jc w:val="center"/>
              <w:rPr>
                <w:b/>
                <w:spacing w:val="0"/>
              </w:rPr>
            </w:pPr>
            <w:r>
              <w:rPr>
                <w:b/>
                <w:spacing w:val="0"/>
              </w:rPr>
              <w:t>Nine Months Ended September 30,</w:t>
            </w:r>
          </w:p>
        </w:tc>
        <w:tc>
          <w:tcPr>
            <w:tcW w:w="177" w:type="dxa"/>
            <w:tcBorders/>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4" w:type="dxa"/>
            <w:gridSpan w:val="2"/>
            <w:tcBorders/>
            <w:vAlign w:val="center"/>
          </w:tcPr>
          <w:p>
            <w:pPr>
              <w:pStyle w:val="TableContents"/>
              <w:bidi w:val="0"/>
              <w:spacing w:before="0" w:after="0"/>
              <w:jc w:val="center"/>
              <w:rPr>
                <w:b/>
                <w:spacing w:val="0"/>
              </w:rPr>
            </w:pPr>
            <w:r>
              <w:rPr>
                <w:b/>
                <w:spacing w:val="0"/>
              </w:rPr>
              <w:t>2025</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08"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2025</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b/>
                <w:spacing w:val="0"/>
              </w:rPr>
            </w:pPr>
            <w:r>
              <w:rPr>
                <w:b/>
                <w:spacing w:val="0"/>
              </w:rPr>
              <w:t>2024</w:t>
            </w:r>
          </w:p>
        </w:tc>
        <w:tc>
          <w:tcPr>
            <w:tcW w:w="177"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530" w:type="dxa"/>
            <w:tcBorders/>
            <w:shd w:fill="CCEEFF" w:val="clear"/>
            <w:vAlign w:val="center"/>
          </w:tcPr>
          <w:p>
            <w:pPr>
              <w:pStyle w:val="TableContents"/>
              <w:bidi w:val="0"/>
              <w:spacing w:before="0" w:after="283"/>
              <w:jc w:val="left"/>
              <w:rPr>
                <w:sz w:val="4"/>
                <w:szCs w:val="4"/>
              </w:rPr>
            </w:pPr>
            <w:r>
              <w:rPr>
                <w:sz w:val="4"/>
                <w:szCs w:val="4"/>
              </w:rPr>
            </w:r>
          </w:p>
        </w:tc>
        <w:tc>
          <w:tcPr>
            <w:tcW w:w="193"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53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sz w:val="4"/>
                <w:szCs w:val="4"/>
              </w:rPr>
            </w:pPr>
            <w:r>
              <w:rPr>
                <w:sz w:val="4"/>
                <w:szCs w:val="4"/>
              </w:rPr>
            </w:r>
          </w:p>
        </w:tc>
      </w:tr>
      <w:tr>
        <w:trPr/>
        <w:tc>
          <w:tcPr>
            <w:tcW w:w="286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w:t>
            </w:r>
          </w:p>
        </w:tc>
        <w:tc>
          <w:tcPr>
            <w:tcW w:w="1530" w:type="dxa"/>
            <w:tcBorders/>
            <w:vAlign w:val="center"/>
          </w:tcPr>
          <w:p>
            <w:pPr>
              <w:pStyle w:val="TableContents"/>
              <w:bidi w:val="0"/>
              <w:spacing w:before="0" w:after="0"/>
              <w:jc w:val="right"/>
              <w:rPr/>
            </w:pPr>
            <w:r>
              <w:rPr/>
              <w:t>1,143</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w:t>
            </w:r>
          </w:p>
        </w:tc>
        <w:tc>
          <w:tcPr>
            <w:tcW w:w="1534" w:type="dxa"/>
            <w:tcBorders/>
            <w:vAlign w:val="center"/>
          </w:tcPr>
          <w:p>
            <w:pPr>
              <w:pStyle w:val="TableContents"/>
              <w:bidi w:val="0"/>
              <w:spacing w:before="0" w:after="0"/>
              <w:jc w:val="right"/>
              <w:rPr/>
            </w:pPr>
            <w:r>
              <w:rPr/>
              <w:t>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pPr>
            <w:r>
              <w:rPr/>
              <w:t>$</w:t>
            </w:r>
          </w:p>
        </w:tc>
        <w:tc>
          <w:tcPr>
            <w:tcW w:w="1310" w:type="dxa"/>
            <w:tcBorders/>
            <w:vAlign w:val="center"/>
          </w:tcPr>
          <w:p>
            <w:pPr>
              <w:pStyle w:val="TableContents"/>
              <w:bidi w:val="0"/>
              <w:spacing w:before="0" w:after="0"/>
              <w:jc w:val="right"/>
              <w:rPr/>
            </w:pPr>
            <w:r>
              <w:rPr/>
              <w:t>1,832</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pPr>
            <w:r>
              <w:rPr/>
              <w:t>$</w:t>
            </w:r>
          </w:p>
        </w:tc>
        <w:tc>
          <w:tcPr>
            <w:tcW w:w="1310" w:type="dxa"/>
            <w:tcBorders/>
            <w:vAlign w:val="center"/>
          </w:tcPr>
          <w:p>
            <w:pPr>
              <w:pStyle w:val="TableContents"/>
              <w:bidi w:val="0"/>
              <w:spacing w:before="0" w:after="0"/>
              <w:jc w:val="right"/>
              <w:rPr/>
            </w:pPr>
            <w:r>
              <w:rPr/>
              <w:t>1,474</w:t>
            </w:r>
          </w:p>
        </w:tc>
        <w:tc>
          <w:tcPr>
            <w:tcW w:w="177"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0"/>
              <w:jc w:val="right"/>
              <w:rPr/>
            </w:pPr>
            <w:r>
              <w:rPr/>
              <w:t>151,451</w:t>
            </w:r>
          </w:p>
        </w:tc>
        <w:tc>
          <w:tcPr>
            <w:tcW w:w="193"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0"/>
              <w:jc w:val="right"/>
              <w:rPr/>
            </w:pPr>
            <w:r>
              <w:rPr/>
              <w:t>1,065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0"/>
              <w:jc w:val="right"/>
              <w:rPr/>
            </w:pPr>
            <w:r>
              <w:rPr/>
              <w:t>152,426</w:t>
            </w:r>
          </w:p>
        </w:tc>
        <w:tc>
          <w:tcPr>
            <w:tcW w:w="16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0"/>
              <w:jc w:val="right"/>
              <w:rPr/>
            </w:pPr>
            <w:r>
              <w:rPr/>
              <w:t>2,440</w:t>
            </w:r>
          </w:p>
        </w:tc>
        <w:tc>
          <w:tcPr>
            <w:tcW w:w="177"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operating expenses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0"/>
              <w:jc w:val="right"/>
              <w:rPr/>
            </w:pPr>
            <w:r>
              <w:rPr/>
              <w:t>152,594</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534" w:type="dxa"/>
            <w:tcBorders/>
            <w:vAlign w:val="center"/>
          </w:tcPr>
          <w:p>
            <w:pPr>
              <w:pStyle w:val="TableContents"/>
              <w:bidi w:val="0"/>
              <w:spacing w:before="0" w:after="0"/>
              <w:jc w:val="right"/>
              <w:rPr/>
            </w:pPr>
            <w:r>
              <w:rPr/>
              <w:t>1,298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right"/>
              <w:rPr/>
            </w:pPr>
            <w:r>
              <w:rPr/>
              <w:t>154,258</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right"/>
              <w:rPr/>
            </w:pPr>
            <w:r>
              <w:rPr/>
              <w:t>3,914</w:t>
            </w:r>
          </w:p>
        </w:tc>
        <w:tc>
          <w:tcPr>
            <w:tcW w:w="177" w:type="dxa"/>
            <w:tcBorders/>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0"/>
              <w:jc w:val="right"/>
              <w:rPr/>
            </w:pPr>
            <w:r>
              <w:rPr/>
              <w:t>(152,594</w:t>
            </w:r>
          </w:p>
        </w:tc>
        <w:tc>
          <w:tcPr>
            <w:tcW w:w="193" w:type="dxa"/>
            <w:tcBorders/>
            <w:shd w:fill="CCEEFF" w:val="clear"/>
            <w:vAlign w:val="center"/>
          </w:tcPr>
          <w:p>
            <w:pPr>
              <w:pStyle w:val="TableContents"/>
              <w:bidi w:val="0"/>
              <w:spacing w:before="0" w:after="0"/>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0"/>
              <w:jc w:val="right"/>
              <w:rPr/>
            </w:pPr>
            <w:r>
              <w:rPr/>
              <w:t>(1,298</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0"/>
              <w:jc w:val="right"/>
              <w:rPr/>
            </w:pPr>
            <w:r>
              <w:rPr/>
              <w:t>(154,258</w:t>
            </w:r>
          </w:p>
        </w:tc>
        <w:tc>
          <w:tcPr>
            <w:tcW w:w="166"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0"/>
              <w:jc w:val="right"/>
              <w:rPr/>
            </w:pPr>
            <w:r>
              <w:rPr/>
              <w:t>(3,914</w:t>
            </w:r>
          </w:p>
        </w:tc>
        <w:tc>
          <w:tcPr>
            <w:tcW w:w="177" w:type="dxa"/>
            <w:tcBorders/>
            <w:shd w:fill="CCEEFF" w:val="clear"/>
            <w:vAlign w:val="center"/>
          </w:tcPr>
          <w:p>
            <w:pPr>
              <w:pStyle w:val="TableContents"/>
              <w:bidi w:val="0"/>
              <w:spacing w:before="0" w:after="0"/>
              <w:jc w:val="left"/>
              <w:rPr/>
            </w:pPr>
            <w:r>
              <w:rPr/>
              <w:t>) </w:t>
            </w:r>
          </w:p>
        </w:tc>
      </w:tr>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loss and comprehensive loss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w:t>
            </w:r>
          </w:p>
        </w:tc>
        <w:tc>
          <w:tcPr>
            <w:tcW w:w="1530" w:type="dxa"/>
            <w:tcBorders/>
            <w:vAlign w:val="center"/>
          </w:tcPr>
          <w:p>
            <w:pPr>
              <w:pStyle w:val="TableContents"/>
              <w:bidi w:val="0"/>
              <w:spacing w:before="0" w:after="0"/>
              <w:jc w:val="right"/>
              <w:rPr/>
            </w:pPr>
            <w:r>
              <w:rPr/>
              <w:t>(152,594</w:t>
            </w:r>
          </w:p>
        </w:tc>
        <w:tc>
          <w:tcPr>
            <w:tcW w:w="193" w:type="dxa"/>
            <w:tcBorders/>
            <w:vAlign w:val="center"/>
          </w:tcPr>
          <w:p>
            <w:pPr>
              <w:pStyle w:val="TableContents"/>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w:t>
            </w:r>
          </w:p>
        </w:tc>
        <w:tc>
          <w:tcPr>
            <w:tcW w:w="1534" w:type="dxa"/>
            <w:tcBorders/>
            <w:vAlign w:val="center"/>
          </w:tcPr>
          <w:p>
            <w:pPr>
              <w:pStyle w:val="TableContents"/>
              <w:bidi w:val="0"/>
              <w:spacing w:before="0" w:after="0"/>
              <w:jc w:val="right"/>
              <w:rPr/>
            </w:pPr>
            <w:r>
              <w:rPr/>
              <w:t>(1,298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pPr>
            <w:r>
              <w:rPr/>
              <w:t>$</w:t>
            </w:r>
          </w:p>
        </w:tc>
        <w:tc>
          <w:tcPr>
            <w:tcW w:w="1310" w:type="dxa"/>
            <w:tcBorders/>
            <w:vAlign w:val="center"/>
          </w:tcPr>
          <w:p>
            <w:pPr>
              <w:pStyle w:val="TableContents"/>
              <w:bidi w:val="0"/>
              <w:spacing w:before="0" w:after="0"/>
              <w:jc w:val="right"/>
              <w:rPr/>
            </w:pPr>
            <w:r>
              <w:rPr/>
              <w:t>(154,258</w:t>
            </w:r>
          </w:p>
        </w:tc>
        <w:tc>
          <w:tcPr>
            <w:tcW w:w="166" w:type="dxa"/>
            <w:tcBorders/>
            <w:vAlign w:val="center"/>
          </w:tcPr>
          <w:p>
            <w:pPr>
              <w:pStyle w:val="TableContents"/>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pPr>
            <w:r>
              <w:rPr/>
              <w:t>$</w:t>
            </w:r>
          </w:p>
        </w:tc>
        <w:tc>
          <w:tcPr>
            <w:tcW w:w="1310" w:type="dxa"/>
            <w:tcBorders/>
            <w:vAlign w:val="center"/>
          </w:tcPr>
          <w:p>
            <w:pPr>
              <w:pStyle w:val="TableContents"/>
              <w:bidi w:val="0"/>
              <w:spacing w:before="0" w:after="0"/>
              <w:jc w:val="right"/>
              <w:rPr/>
            </w:pPr>
            <w:r>
              <w:rPr/>
              <w:t>(3,914</w:t>
            </w:r>
          </w:p>
        </w:tc>
        <w:tc>
          <w:tcPr>
            <w:tcW w:w="177" w:type="dxa"/>
            <w:tcBorders/>
            <w:vAlign w:val="center"/>
          </w:tcPr>
          <w:p>
            <w:pPr>
              <w:pStyle w:val="TableContents"/>
              <w:bidi w:val="0"/>
              <w:spacing w:before="0" w:after="0"/>
              <w:jc w:val="left"/>
              <w:rPr/>
            </w:pPr>
            <w:r>
              <w:rPr/>
              <w:t>) </w:t>
            </w:r>
          </w:p>
        </w:tc>
      </w:tr>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w:t>
            </w:r>
          </w:p>
        </w:tc>
        <w:tc>
          <w:tcPr>
            <w:tcW w:w="1530" w:type="dxa"/>
            <w:tcBorders/>
            <w:shd w:fill="CCEEFF" w:val="clear"/>
            <w:vAlign w:val="center"/>
          </w:tcPr>
          <w:p>
            <w:pPr>
              <w:pStyle w:val="TableContents"/>
              <w:bidi w:val="0"/>
              <w:spacing w:before="0" w:after="0"/>
              <w:jc w:val="right"/>
              <w:rPr/>
            </w:pPr>
            <w:r>
              <w:rPr/>
              <w:t>(0.76</w:t>
            </w:r>
          </w:p>
        </w:tc>
        <w:tc>
          <w:tcPr>
            <w:tcW w:w="193" w:type="dxa"/>
            <w:tcBorders/>
            <w:shd w:fill="CCEEFF" w:val="clear"/>
            <w:vAlign w:val="center"/>
          </w:tcPr>
          <w:p>
            <w:pPr>
              <w:pStyle w:val="TableContents"/>
              <w:bidi w:val="0"/>
              <w:spacing w:before="0" w:after="0"/>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0"/>
              <w:jc w:val="left"/>
              <w:rPr/>
            </w:pPr>
            <w:r>
              <w:rPr/>
              <w:t>$</w:t>
            </w:r>
          </w:p>
        </w:tc>
        <w:tc>
          <w:tcPr>
            <w:tcW w:w="1534" w:type="dxa"/>
            <w:tcBorders/>
            <w:shd w:fill="CCEEFF" w:val="clear"/>
            <w:vAlign w:val="center"/>
          </w:tcPr>
          <w:p>
            <w:pPr>
              <w:pStyle w:val="TableContents"/>
              <w:bidi w:val="0"/>
              <w:spacing w:before="0" w:after="0"/>
              <w:jc w:val="right"/>
              <w:rPr/>
            </w:pPr>
            <w:r>
              <w:rPr/>
              <w:t>(0.01</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jc w:val="left"/>
              <w:rPr/>
            </w:pPr>
            <w:r>
              <w:rPr/>
              <w:t>$</w:t>
            </w:r>
          </w:p>
        </w:tc>
        <w:tc>
          <w:tcPr>
            <w:tcW w:w="1310" w:type="dxa"/>
            <w:tcBorders/>
            <w:shd w:fill="CCEEFF" w:val="clear"/>
            <w:vAlign w:val="center"/>
          </w:tcPr>
          <w:p>
            <w:pPr>
              <w:pStyle w:val="TableContents"/>
              <w:bidi w:val="0"/>
              <w:spacing w:before="0" w:after="0"/>
              <w:jc w:val="right"/>
              <w:rPr/>
            </w:pPr>
            <w:r>
              <w:rPr/>
              <w:t>(0.77</w:t>
            </w:r>
          </w:p>
        </w:tc>
        <w:tc>
          <w:tcPr>
            <w:tcW w:w="166"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0"/>
              <w:jc w:val="left"/>
              <w:rPr/>
            </w:pPr>
            <w:r>
              <w:rPr/>
              <w:t>$</w:t>
            </w:r>
          </w:p>
        </w:tc>
        <w:tc>
          <w:tcPr>
            <w:tcW w:w="1310" w:type="dxa"/>
            <w:tcBorders/>
            <w:shd w:fill="CCEEFF" w:val="clear"/>
            <w:vAlign w:val="center"/>
          </w:tcPr>
          <w:p>
            <w:pPr>
              <w:pStyle w:val="TableContents"/>
              <w:bidi w:val="0"/>
              <w:spacing w:before="0" w:after="0"/>
              <w:jc w:val="right"/>
              <w:rPr/>
            </w:pPr>
            <w:r>
              <w:rPr/>
              <w:t>(0.02</w:t>
            </w:r>
          </w:p>
        </w:tc>
        <w:tc>
          <w:tcPr>
            <w:tcW w:w="177" w:type="dxa"/>
            <w:tcBorders/>
            <w:shd w:fill="CCEEFF" w:val="clear"/>
            <w:vAlign w:val="center"/>
          </w:tcPr>
          <w:p>
            <w:pPr>
              <w:pStyle w:val="TableContents"/>
              <w:bidi w:val="0"/>
              <w:spacing w:before="0" w:after="0"/>
              <w:jc w:val="left"/>
              <w:rPr/>
            </w:pPr>
            <w:r>
              <w:rPr/>
              <w:t>) </w:t>
            </w:r>
          </w:p>
        </w:tc>
      </w:tr>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 w:type="dxa"/>
            <w:tcBorders/>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of common stock outstanding, basic and diluted</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0"/>
              <w:jc w:val="right"/>
              <w:rPr/>
            </w:pPr>
            <w:r>
              <w:rPr/>
              <w:t>201,686,617</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534" w:type="dxa"/>
            <w:tcBorders/>
            <w:vAlign w:val="center"/>
          </w:tcPr>
          <w:p>
            <w:pPr>
              <w:pStyle w:val="TableContents"/>
              <w:bidi w:val="0"/>
              <w:spacing w:before="0" w:after="0"/>
              <w:jc w:val="right"/>
              <w:rPr/>
            </w:pPr>
            <w:r>
              <w:rPr/>
              <w:t>200,000,000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right"/>
              <w:rPr/>
            </w:pPr>
            <w:r>
              <w:rPr/>
              <w:t>200,568,383</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right"/>
              <w:rPr/>
            </w:pPr>
            <w:r>
              <w:rPr/>
              <w:t>200,000,000</w:t>
            </w:r>
          </w:p>
        </w:tc>
        <w:tc>
          <w:tcPr>
            <w:tcW w:w="177" w:type="dxa"/>
            <w:tcBorders/>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the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2795" w:type="dxa"/>
        <w:jc w:val="left"/>
        <w:tblInd w:w="0" w:type="dxa"/>
        <w:tblLayout w:type="fixed"/>
        <w:tblCellMar>
          <w:top w:w="0" w:type="dxa"/>
          <w:left w:w="0" w:type="dxa"/>
          <w:bottom w:w="0" w:type="dxa"/>
          <w:right w:w="0" w:type="dxa"/>
        </w:tblCellMar>
      </w:tblPr>
      <w:tblGrid>
        <w:gridCol w:w="1085"/>
        <w:gridCol w:w="60"/>
        <w:gridCol w:w="60"/>
        <w:gridCol w:w="980"/>
        <w:gridCol w:w="60"/>
        <w:gridCol w:w="60"/>
        <w:gridCol w:w="301"/>
        <w:gridCol w:w="559"/>
        <w:gridCol w:w="60"/>
        <w:gridCol w:w="60"/>
        <w:gridCol w:w="60"/>
        <w:gridCol w:w="1295"/>
        <w:gridCol w:w="155"/>
        <w:gridCol w:w="60"/>
        <w:gridCol w:w="301"/>
        <w:gridCol w:w="559"/>
        <w:gridCol w:w="155"/>
        <w:gridCol w:w="60"/>
        <w:gridCol w:w="60"/>
        <w:gridCol w:w="1220"/>
        <w:gridCol w:w="60"/>
        <w:gridCol w:w="60"/>
        <w:gridCol w:w="301"/>
        <w:gridCol w:w="559"/>
        <w:gridCol w:w="60"/>
        <w:gridCol w:w="60"/>
        <w:gridCol w:w="163"/>
        <w:gridCol w:w="937"/>
        <w:gridCol w:w="155"/>
        <w:gridCol w:w="60"/>
        <w:gridCol w:w="188"/>
        <w:gridCol w:w="1182"/>
        <w:gridCol w:w="155"/>
        <w:gridCol w:w="60"/>
        <w:gridCol w:w="195"/>
        <w:gridCol w:w="1220"/>
        <w:gridCol w:w="170"/>
      </w:tblGrid>
      <w:tr>
        <w:trPr/>
        <w:tc>
          <w:tcPr>
            <w:tcW w:w="108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0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4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Legacy Common Stock</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Deficit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Stockholders’</w:t>
              <w:br/>
              <w:t>Deficit</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January 1,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160,000,000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w:t>
            </w:r>
          </w:p>
        </w:tc>
        <w:tc>
          <w:tcPr>
            <w:tcW w:w="937" w:type="dxa"/>
            <w:tcBorders/>
            <w:shd w:fill="CCEEFF" w:val="clear"/>
            <w:vAlign w:val="center"/>
          </w:tcPr>
          <w:p>
            <w:pPr>
              <w:pStyle w:val="TableContents"/>
              <w:bidi w:val="0"/>
              <w:spacing w:before="0" w:after="0"/>
              <w:jc w:val="right"/>
              <w:rPr>
                <w:spacing w:val="0"/>
              </w:rPr>
            </w:pPr>
            <w:r>
              <w:rPr>
                <w:spacing w:val="0"/>
              </w:rPr>
              <w:t>72,598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(115,384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(42,784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Retroactive application of recapitalization</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(160,000,000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200,000,000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20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937" w:type="dxa"/>
            <w:tcBorders/>
            <w:vAlign w:val="center"/>
          </w:tcPr>
          <w:p>
            <w:pPr>
              <w:pStyle w:val="TableContents"/>
              <w:bidi w:val="0"/>
              <w:spacing w:before="0" w:after="0"/>
              <w:jc w:val="right"/>
              <w:rPr>
                <w:spacing w:val="0"/>
              </w:rPr>
            </w:pPr>
            <w:r>
              <w:rPr>
                <w:spacing w:val="0"/>
              </w:rPr>
              <w:t>(18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Adjusted balance, January 1,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 </w:t>
            </w:r>
          </w:p>
        </w:tc>
        <w:tc>
          <w:tcPr>
            <w:tcW w:w="937"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(115,384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(42,784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937"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(665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(665</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March 31,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 </w:t>
            </w:r>
          </w:p>
        </w:tc>
        <w:tc>
          <w:tcPr>
            <w:tcW w:w="937"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(116,049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(43,449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937"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(999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(999</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June 30,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 </w:t>
            </w:r>
          </w:p>
        </w:tc>
        <w:tc>
          <w:tcPr>
            <w:tcW w:w="937"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(117,048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(44,448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preferred stock and common stock for Debt Exchange Agreement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5,423,606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542,361</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937" w:type="dxa"/>
            <w:tcBorders/>
            <w:vAlign w:val="center"/>
          </w:tcPr>
          <w:p>
            <w:pPr>
              <w:pStyle w:val="TableContents"/>
              <w:bidi w:val="0"/>
              <w:spacing w:before="0" w:after="0"/>
              <w:jc w:val="right"/>
              <w:rPr>
                <w:spacing w:val="0"/>
              </w:rPr>
            </w:pPr>
            <w:r>
              <w:rPr>
                <w:spacing w:val="0"/>
              </w:rPr>
              <w:t>54,235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54,236</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for Business Combination</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2,598,617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 </w:t>
            </w:r>
          </w:p>
        </w:tc>
        <w:tc>
          <w:tcPr>
            <w:tcW w:w="937" w:type="dxa"/>
            <w:tcBorders/>
            <w:shd w:fill="CCEEFF" w:val="clear"/>
            <w:vAlign w:val="center"/>
          </w:tcPr>
          <w:p>
            <w:pPr>
              <w:pStyle w:val="TableContents"/>
              <w:bidi w:val="0"/>
              <w:spacing w:before="0" w:after="0"/>
              <w:jc w:val="right"/>
              <w:rPr>
                <w:spacing w:val="0"/>
              </w:rPr>
            </w:pPr>
            <w:r>
              <w:rPr>
                <w:spacing w:val="0"/>
              </w:rPr>
              <w:t>(12,788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(12,788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to consultants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26,500,000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937" w:type="dxa"/>
            <w:tcBorders/>
            <w:vAlign w:val="center"/>
          </w:tcPr>
          <w:p>
            <w:pPr>
              <w:pStyle w:val="TableContents"/>
              <w:bidi w:val="0"/>
              <w:spacing w:before="0" w:after="0"/>
              <w:jc w:val="right"/>
              <w:rPr>
                <w:spacing w:val="0"/>
              </w:rPr>
            </w:pPr>
            <w:r>
              <w:rPr>
                <w:spacing w:val="0"/>
              </w:rPr>
              <w:t>139,998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140,001</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Issuance of common stock to underwriters</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 </w:t>
            </w:r>
          </w:p>
        </w:tc>
        <w:tc>
          <w:tcPr>
            <w:tcW w:w="937" w:type="dxa"/>
            <w:tcBorders/>
            <w:shd w:fill="CCEEFF" w:val="clear"/>
            <w:vAlign w:val="center"/>
          </w:tcPr>
          <w:p>
            <w:pPr>
              <w:pStyle w:val="TableContents"/>
              <w:bidi w:val="0"/>
              <w:spacing w:before="0" w:after="0"/>
              <w:jc w:val="right"/>
              <w:rPr>
                <w:spacing w:val="0"/>
              </w:rPr>
            </w:pPr>
            <w:r>
              <w:rPr>
                <w:spacing w:val="0"/>
              </w:rPr>
              <w:t>1,000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1,000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9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rPr>
            </w:pPr>
            <w:r>
              <w:rPr>
                <w:spacing w:val="0"/>
              </w:rPr>
              <w:t> </w:t>
            </w:r>
          </w:p>
        </w:tc>
        <w:tc>
          <w:tcPr>
            <w:tcW w:w="937"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(152,594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(152,594</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September 30, 2025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5,423,606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9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229,740,978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23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0"/>
              <w:jc w:val="left"/>
              <w:rPr>
                <w:spacing w:val="0"/>
              </w:rPr>
            </w:pPr>
            <w:r>
              <w:rPr>
                <w:spacing w:val="0"/>
              </w:rPr>
              <w:t>$</w:t>
            </w:r>
          </w:p>
        </w:tc>
        <w:tc>
          <w:tcPr>
            <w:tcW w:w="937" w:type="dxa"/>
            <w:tcBorders/>
            <w:shd w:fill="CCEEFF" w:val="clear"/>
            <w:vAlign w:val="center"/>
          </w:tcPr>
          <w:p>
            <w:pPr>
              <w:pStyle w:val="TableContents"/>
              <w:bidi w:val="0"/>
              <w:spacing w:before="0" w:after="0"/>
              <w:jc w:val="right"/>
              <w:rPr>
                <w:spacing w:val="0"/>
              </w:rPr>
            </w:pPr>
            <w:r>
              <w:rPr>
                <w:spacing w:val="0"/>
              </w:rPr>
              <w:t>255,025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(269,642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0"/>
              <w:jc w:val="left"/>
              <w:rPr>
                <w:spacing w:val="0"/>
              </w:rPr>
            </w:pPr>
            <w:r>
              <w:rPr>
                <w:spacing w:val="0"/>
              </w:rPr>
              <w:t>$</w:t>
            </w:r>
          </w:p>
        </w:tc>
        <w:tc>
          <w:tcPr>
            <w:tcW w:w="1220" w:type="dxa"/>
            <w:tcBorders/>
            <w:shd w:fill="CCEEFF" w:val="clear"/>
            <w:vAlign w:val="center"/>
          </w:tcPr>
          <w:p>
            <w:pPr>
              <w:pStyle w:val="TableContents"/>
              <w:bidi w:val="0"/>
              <w:spacing w:before="0" w:after="0"/>
              <w:jc w:val="right"/>
              <w:rPr>
                <w:spacing w:val="0"/>
              </w:rPr>
            </w:pPr>
            <w:r>
              <w:rPr>
                <w:spacing w:val="0"/>
              </w:rPr>
              <w:t>(14,593</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10988" w:type="dxa"/>
        <w:jc w:val="left"/>
        <w:tblInd w:w="0" w:type="dxa"/>
        <w:tblLayout w:type="fixed"/>
        <w:tblCellMar>
          <w:top w:w="0" w:type="dxa"/>
          <w:left w:w="0" w:type="dxa"/>
          <w:bottom w:w="0" w:type="dxa"/>
          <w:right w:w="0" w:type="dxa"/>
        </w:tblCellMar>
      </w:tblPr>
      <w:tblGrid>
        <w:gridCol w:w="1085"/>
        <w:gridCol w:w="60"/>
        <w:gridCol w:w="72"/>
        <w:gridCol w:w="1571"/>
        <w:gridCol w:w="188"/>
        <w:gridCol w:w="72"/>
        <w:gridCol w:w="298"/>
        <w:gridCol w:w="562"/>
        <w:gridCol w:w="155"/>
        <w:gridCol w:w="60"/>
        <w:gridCol w:w="60"/>
        <w:gridCol w:w="1220"/>
        <w:gridCol w:w="60"/>
        <w:gridCol w:w="60"/>
        <w:gridCol w:w="301"/>
        <w:gridCol w:w="559"/>
        <w:gridCol w:w="60"/>
        <w:gridCol w:w="60"/>
        <w:gridCol w:w="187"/>
        <w:gridCol w:w="913"/>
        <w:gridCol w:w="155"/>
        <w:gridCol w:w="60"/>
        <w:gridCol w:w="188"/>
        <w:gridCol w:w="1182"/>
        <w:gridCol w:w="155"/>
        <w:gridCol w:w="60"/>
        <w:gridCol w:w="221"/>
        <w:gridCol w:w="1194"/>
        <w:gridCol w:w="170"/>
      </w:tblGrid>
      <w:tr>
        <w:trPr/>
        <w:tc>
          <w:tcPr>
            <w:tcW w:w="108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76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Legacy Common Stock</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64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Deficit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Stockholders’</w:t>
              <w:br/>
              <w:t>Deficit</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January 1,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1571" w:type="dxa"/>
            <w:tcBorders/>
            <w:shd w:fill="CCEEFF" w:val="clear"/>
            <w:vAlign w:val="center"/>
          </w:tcPr>
          <w:p>
            <w:pPr>
              <w:pStyle w:val="TableContents"/>
              <w:bidi w:val="0"/>
              <w:spacing w:before="0" w:after="0"/>
              <w:jc w:val="right"/>
              <w:rPr>
                <w:spacing w:val="0"/>
              </w:rPr>
            </w:pPr>
            <w:r>
              <w:rPr>
                <w:spacing w:val="0"/>
              </w:rPr>
              <w:t>160,000,000</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298" w:type="dxa"/>
            <w:tcBorders/>
            <w:shd w:fill="CCEEFF" w:val="clear"/>
            <w:vAlign w:val="center"/>
          </w:tcPr>
          <w:p>
            <w:pPr>
              <w:pStyle w:val="TableContents"/>
              <w:bidi w:val="0"/>
              <w:spacing w:before="0" w:after="0"/>
              <w:jc w:val="left"/>
              <w:rPr>
                <w:spacing w:val="0"/>
              </w:rPr>
            </w:pPr>
            <w:r>
              <w:rPr>
                <w:spacing w:val="0"/>
              </w:rPr>
              <w:t>$</w:t>
            </w:r>
          </w:p>
        </w:tc>
        <w:tc>
          <w:tcPr>
            <w:tcW w:w="562" w:type="dxa"/>
            <w:tcBorders/>
            <w:shd w:fill="CCEEFF" w:val="clear"/>
            <w:vAlign w:val="center"/>
          </w:tcPr>
          <w:p>
            <w:pPr>
              <w:pStyle w:val="TableContents"/>
              <w:bidi w:val="0"/>
              <w:spacing w:before="0" w:after="0"/>
              <w:jc w:val="right"/>
              <w:rPr>
                <w:spacing w:val="0"/>
              </w:rPr>
            </w:pPr>
            <w:r>
              <w:rPr>
                <w:spacing w:val="0"/>
              </w:rPr>
              <w:t>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72,598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(110,694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w:t>
            </w:r>
          </w:p>
        </w:tc>
        <w:tc>
          <w:tcPr>
            <w:tcW w:w="1194" w:type="dxa"/>
            <w:tcBorders/>
            <w:shd w:fill="CCEEFF" w:val="clear"/>
            <w:vAlign w:val="center"/>
          </w:tcPr>
          <w:p>
            <w:pPr>
              <w:pStyle w:val="TableContents"/>
              <w:bidi w:val="0"/>
              <w:spacing w:before="0" w:after="0"/>
              <w:jc w:val="right"/>
              <w:rPr>
                <w:spacing w:val="0"/>
              </w:rPr>
            </w:pPr>
            <w:r>
              <w:rPr>
                <w:spacing w:val="0"/>
              </w:rPr>
              <w:t>(38,094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Retroactive application of recapitalization</w:t>
            </w:r>
          </w:p>
        </w:tc>
        <w:tc>
          <w:tcPr>
            <w:tcW w:w="60"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571" w:type="dxa"/>
            <w:tcBorders/>
            <w:vAlign w:val="center"/>
          </w:tcPr>
          <w:p>
            <w:pPr>
              <w:pStyle w:val="TableContents"/>
              <w:bidi w:val="0"/>
              <w:spacing w:before="0" w:after="0"/>
              <w:jc w:val="right"/>
              <w:rPr>
                <w:spacing w:val="0"/>
              </w:rPr>
            </w:pPr>
            <w:r>
              <w:rPr>
                <w:spacing w:val="0"/>
              </w:rPr>
              <w:t>(160,000,000</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298" w:type="dxa"/>
            <w:tcBorders/>
            <w:vAlign w:val="center"/>
          </w:tcPr>
          <w:p>
            <w:pPr>
              <w:pStyle w:val="TableContents"/>
              <w:bidi w:val="0"/>
              <w:spacing w:before="0" w:after="0"/>
              <w:jc w:val="left"/>
              <w:rPr>
                <w:spacing w:val="0"/>
              </w:rPr>
            </w:pPr>
            <w:r>
              <w:rPr>
                <w:spacing w:val="0"/>
              </w:rPr>
              <w:t> </w:t>
            </w:r>
          </w:p>
        </w:tc>
        <w:tc>
          <w:tcPr>
            <w:tcW w:w="562" w:type="dxa"/>
            <w:tcBorders/>
            <w:vAlign w:val="center"/>
          </w:tcPr>
          <w:p>
            <w:pPr>
              <w:pStyle w:val="TableContents"/>
              <w:bidi w:val="0"/>
              <w:spacing w:before="0" w:after="0"/>
              <w:jc w:val="right"/>
              <w:rPr>
                <w:spacing w:val="0"/>
              </w:rPr>
            </w:pPr>
            <w:r>
              <w:rPr>
                <w:spacing w:val="0"/>
              </w:rPr>
              <w:t>(2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200,000,000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20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Adjusted balance, January 1,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1571" w:type="dxa"/>
            <w:tcBorders/>
            <w:shd w:fill="CCEEFF" w:val="clear"/>
            <w:vAlign w:val="center"/>
          </w:tcPr>
          <w:p>
            <w:pPr>
              <w:pStyle w:val="TableContents"/>
              <w:bidi w:val="0"/>
              <w:spacing w:before="0" w:after="0"/>
              <w:jc w:val="righ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298" w:type="dxa"/>
            <w:tcBorders/>
            <w:shd w:fill="CCEEFF" w:val="clear"/>
            <w:vAlign w:val="center"/>
          </w:tcPr>
          <w:p>
            <w:pPr>
              <w:pStyle w:val="TableContents"/>
              <w:bidi w:val="0"/>
              <w:spacing w:before="0" w:after="0"/>
              <w:jc w:val="left"/>
              <w:rPr>
                <w:spacing w:val="0"/>
              </w:rPr>
            </w:pPr>
            <w:r>
              <w:rPr>
                <w:spacing w:val="0"/>
              </w:rPr>
              <w:t> </w:t>
            </w:r>
          </w:p>
        </w:tc>
        <w:tc>
          <w:tcPr>
            <w:tcW w:w="562" w:type="dxa"/>
            <w:tcBorders/>
            <w:shd w:fill="CCEEFF" w:val="clear"/>
            <w:vAlign w:val="center"/>
          </w:tcPr>
          <w:p>
            <w:pPr>
              <w:pStyle w:val="TableContents"/>
              <w:bidi w:val="0"/>
              <w:spacing w:before="0" w:after="0"/>
              <w:jc w:val="right"/>
              <w:rPr>
                <w:spacing w:val="0"/>
              </w:rPr>
            </w:pPr>
            <w:r>
              <w:rPr>
                <w:spacing w:val="0"/>
              </w:rPr>
              <w:t>—</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(110,694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 </w:t>
            </w:r>
          </w:p>
        </w:tc>
        <w:tc>
          <w:tcPr>
            <w:tcW w:w="1194" w:type="dxa"/>
            <w:tcBorders/>
            <w:shd w:fill="CCEEFF" w:val="clear"/>
            <w:vAlign w:val="center"/>
          </w:tcPr>
          <w:p>
            <w:pPr>
              <w:pStyle w:val="TableContents"/>
              <w:bidi w:val="0"/>
              <w:spacing w:before="0" w:after="0"/>
              <w:jc w:val="right"/>
              <w:rPr>
                <w:spacing w:val="0"/>
              </w:rPr>
            </w:pPr>
            <w:r>
              <w:rPr>
                <w:spacing w:val="0"/>
              </w:rPr>
              <w:t>(38,094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571" w:type="dxa"/>
            <w:tcBorders/>
            <w:vAlign w:val="center"/>
          </w:tcPr>
          <w:p>
            <w:pPr>
              <w:pStyle w:val="TableContents"/>
              <w:bidi w:val="0"/>
              <w:spacing w:before="0" w:after="0"/>
              <w:jc w:val="righ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298" w:type="dxa"/>
            <w:tcBorders/>
            <w:vAlign w:val="center"/>
          </w:tcPr>
          <w:p>
            <w:pPr>
              <w:pStyle w:val="TableContents"/>
              <w:bidi w:val="0"/>
              <w:spacing w:before="0" w:after="0"/>
              <w:jc w:val="left"/>
              <w:rPr>
                <w:spacing w:val="0"/>
              </w:rPr>
            </w:pPr>
            <w:r>
              <w:rPr>
                <w:spacing w:val="0"/>
              </w:rPr>
              <w:t> </w:t>
            </w:r>
          </w:p>
        </w:tc>
        <w:tc>
          <w:tcPr>
            <w:tcW w:w="56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(1,506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(1,506</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March 31,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1571" w:type="dxa"/>
            <w:tcBorders/>
            <w:shd w:fill="CCEEFF" w:val="clear"/>
            <w:vAlign w:val="center"/>
          </w:tcPr>
          <w:p>
            <w:pPr>
              <w:pStyle w:val="TableContents"/>
              <w:bidi w:val="0"/>
              <w:spacing w:before="0" w:after="0"/>
              <w:jc w:val="righ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298" w:type="dxa"/>
            <w:tcBorders/>
            <w:shd w:fill="CCEEFF" w:val="clear"/>
            <w:vAlign w:val="center"/>
          </w:tcPr>
          <w:p>
            <w:pPr>
              <w:pStyle w:val="TableContents"/>
              <w:bidi w:val="0"/>
              <w:spacing w:before="0" w:after="0"/>
              <w:jc w:val="left"/>
              <w:rPr>
                <w:spacing w:val="0"/>
              </w:rPr>
            </w:pPr>
            <w:r>
              <w:rPr>
                <w:spacing w:val="0"/>
              </w:rPr>
              <w:t> </w:t>
            </w:r>
          </w:p>
        </w:tc>
        <w:tc>
          <w:tcPr>
            <w:tcW w:w="562" w:type="dxa"/>
            <w:tcBorders/>
            <w:shd w:fill="CCEEFF" w:val="clear"/>
            <w:vAlign w:val="center"/>
          </w:tcPr>
          <w:p>
            <w:pPr>
              <w:pStyle w:val="TableContents"/>
              <w:bidi w:val="0"/>
              <w:spacing w:before="0" w:after="0"/>
              <w:jc w:val="right"/>
              <w:rPr>
                <w:spacing w:val="0"/>
              </w:rPr>
            </w:pPr>
            <w:r>
              <w:rPr>
                <w:spacing w:val="0"/>
              </w:rPr>
              <w:t>—</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(112,200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 </w:t>
            </w:r>
          </w:p>
        </w:tc>
        <w:tc>
          <w:tcPr>
            <w:tcW w:w="1194" w:type="dxa"/>
            <w:tcBorders/>
            <w:shd w:fill="CCEEFF" w:val="clear"/>
            <w:vAlign w:val="center"/>
          </w:tcPr>
          <w:p>
            <w:pPr>
              <w:pStyle w:val="TableContents"/>
              <w:bidi w:val="0"/>
              <w:spacing w:before="0" w:after="0"/>
              <w:jc w:val="right"/>
              <w:rPr>
                <w:spacing w:val="0"/>
              </w:rPr>
            </w:pPr>
            <w:r>
              <w:rPr>
                <w:spacing w:val="0"/>
              </w:rPr>
              <w:t>(39,600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571" w:type="dxa"/>
            <w:tcBorders/>
            <w:vAlign w:val="center"/>
          </w:tcPr>
          <w:p>
            <w:pPr>
              <w:pStyle w:val="TableContents"/>
              <w:bidi w:val="0"/>
              <w:spacing w:before="0" w:after="0"/>
              <w:jc w:val="righ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298" w:type="dxa"/>
            <w:tcBorders/>
            <w:vAlign w:val="center"/>
          </w:tcPr>
          <w:p>
            <w:pPr>
              <w:pStyle w:val="TableContents"/>
              <w:bidi w:val="0"/>
              <w:spacing w:before="0" w:after="0"/>
              <w:jc w:val="left"/>
              <w:rPr>
                <w:spacing w:val="0"/>
              </w:rPr>
            </w:pPr>
            <w:r>
              <w:rPr>
                <w:spacing w:val="0"/>
              </w:rPr>
              <w:t> </w:t>
            </w:r>
          </w:p>
        </w:tc>
        <w:tc>
          <w:tcPr>
            <w:tcW w:w="56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(1,110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(1,110</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June 30,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1571" w:type="dxa"/>
            <w:tcBorders/>
            <w:shd w:fill="CCEEFF" w:val="clear"/>
            <w:vAlign w:val="center"/>
          </w:tcPr>
          <w:p>
            <w:pPr>
              <w:pStyle w:val="TableContents"/>
              <w:bidi w:val="0"/>
              <w:spacing w:before="0" w:after="0"/>
              <w:jc w:val="righ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298" w:type="dxa"/>
            <w:tcBorders/>
            <w:shd w:fill="CCEEFF" w:val="clear"/>
            <w:vAlign w:val="center"/>
          </w:tcPr>
          <w:p>
            <w:pPr>
              <w:pStyle w:val="TableContents"/>
              <w:bidi w:val="0"/>
              <w:spacing w:before="0" w:after="0"/>
              <w:jc w:val="left"/>
              <w:rPr>
                <w:spacing w:val="0"/>
              </w:rPr>
            </w:pPr>
            <w:r>
              <w:rPr>
                <w:spacing w:val="0"/>
              </w:rPr>
              <w:t> </w:t>
            </w:r>
          </w:p>
        </w:tc>
        <w:tc>
          <w:tcPr>
            <w:tcW w:w="56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 </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 </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1182" w:type="dxa"/>
            <w:tcBorders/>
            <w:shd w:fill="CCEEFF" w:val="clear"/>
            <w:vAlign w:val="center"/>
          </w:tcPr>
          <w:p>
            <w:pPr>
              <w:pStyle w:val="TableContents"/>
              <w:bidi w:val="0"/>
              <w:spacing w:before="0" w:after="0"/>
              <w:jc w:val="right"/>
              <w:rPr>
                <w:spacing w:val="0"/>
              </w:rPr>
            </w:pPr>
            <w:r>
              <w:rPr>
                <w:spacing w:val="0"/>
              </w:rPr>
              <w:t>(113,310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 </w:t>
            </w:r>
          </w:p>
        </w:tc>
        <w:tc>
          <w:tcPr>
            <w:tcW w:w="1194" w:type="dxa"/>
            <w:tcBorders/>
            <w:shd w:fill="CCEEFF" w:val="clear"/>
            <w:vAlign w:val="center"/>
          </w:tcPr>
          <w:p>
            <w:pPr>
              <w:pStyle w:val="TableContents"/>
              <w:bidi w:val="0"/>
              <w:spacing w:before="0" w:after="0"/>
              <w:jc w:val="right"/>
              <w:rPr>
                <w:spacing w:val="0"/>
              </w:rPr>
            </w:pPr>
            <w:r>
              <w:rPr>
                <w:spacing w:val="0"/>
              </w:rPr>
              <w:t>(40,710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085" w:type="dxa"/>
            <w:tcBorders/>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Net loss</w:t>
            </w:r>
          </w:p>
        </w:tc>
        <w:tc>
          <w:tcPr>
            <w:tcW w:w="60"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571" w:type="dxa"/>
            <w:tcBorders/>
            <w:vAlign w:val="center"/>
          </w:tcPr>
          <w:p>
            <w:pPr>
              <w:pStyle w:val="TableContents"/>
              <w:bidi w:val="0"/>
              <w:spacing w:before="0" w:after="0"/>
              <w:jc w:val="righ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298" w:type="dxa"/>
            <w:tcBorders/>
            <w:vAlign w:val="center"/>
          </w:tcPr>
          <w:p>
            <w:pPr>
              <w:pStyle w:val="TableContents"/>
              <w:bidi w:val="0"/>
              <w:spacing w:before="0" w:after="0"/>
              <w:jc w:val="left"/>
              <w:rPr>
                <w:spacing w:val="0"/>
              </w:rPr>
            </w:pPr>
            <w:r>
              <w:rPr>
                <w:spacing w:val="0"/>
              </w:rPr>
              <w:t> </w:t>
            </w:r>
          </w:p>
        </w:tc>
        <w:tc>
          <w:tcPr>
            <w:tcW w:w="562"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1" w:type="dxa"/>
            <w:tcBorders/>
            <w:vAlign w:val="center"/>
          </w:tcPr>
          <w:p>
            <w:pPr>
              <w:pStyle w:val="TableContents"/>
              <w:bidi w:val="0"/>
              <w:spacing w:before="0" w:after="0"/>
              <w:jc w:val="left"/>
              <w:rPr>
                <w:spacing w:val="0"/>
              </w:rPr>
            </w:pPr>
            <w:r>
              <w:rPr>
                <w:spacing w:val="0"/>
              </w:rPr>
              <w:t> </w:t>
            </w:r>
          </w:p>
        </w:tc>
        <w:tc>
          <w:tcPr>
            <w:tcW w:w="559"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7" w:type="dxa"/>
            <w:tcBorders/>
            <w:vAlign w:val="center"/>
          </w:tcPr>
          <w:p>
            <w:pPr>
              <w:pStyle w:val="TableContents"/>
              <w:bidi w:val="0"/>
              <w:spacing w:before="0" w:after="0"/>
              <w:jc w:val="left"/>
              <w:rPr>
                <w:spacing w:val="0"/>
              </w:rPr>
            </w:pPr>
            <w:r>
              <w:rPr>
                <w:spacing w:val="0"/>
              </w:rPr>
              <w:t> </w:t>
            </w:r>
          </w:p>
        </w:tc>
        <w:tc>
          <w:tcPr>
            <w:tcW w:w="913"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1182" w:type="dxa"/>
            <w:tcBorders/>
            <w:vAlign w:val="center"/>
          </w:tcPr>
          <w:p>
            <w:pPr>
              <w:pStyle w:val="TableContents"/>
              <w:bidi w:val="0"/>
              <w:spacing w:before="0" w:after="0"/>
              <w:jc w:val="right"/>
              <w:rPr>
                <w:spacing w:val="0"/>
              </w:rPr>
            </w:pPr>
            <w:r>
              <w:rPr>
                <w:spacing w:val="0"/>
              </w:rPr>
              <w:t>(1,298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1194" w:type="dxa"/>
            <w:tcBorders/>
            <w:vAlign w:val="center"/>
          </w:tcPr>
          <w:p>
            <w:pPr>
              <w:pStyle w:val="TableContents"/>
              <w:bidi w:val="0"/>
              <w:spacing w:before="0" w:after="0"/>
              <w:jc w:val="right"/>
              <w:rPr>
                <w:spacing w:val="0"/>
              </w:rPr>
            </w:pPr>
            <w:r>
              <w:rPr>
                <w:spacing w:val="0"/>
              </w:rPr>
              <w:t>(1,298</w:t>
            </w:r>
          </w:p>
        </w:tc>
        <w:tc>
          <w:tcPr>
            <w:tcW w:w="170" w:type="dxa"/>
            <w:tcBorders/>
            <w:vAlign w:val="center"/>
          </w:tcPr>
          <w:p>
            <w:pPr>
              <w:pStyle w:val="TableContents"/>
              <w:bidi w:val="0"/>
              <w:spacing w:before="0" w:after="0"/>
              <w:jc w:val="left"/>
              <w:rPr>
                <w:spacing w:val="0"/>
              </w:rPr>
            </w:pPr>
            <w:r>
              <w:rPr>
                <w:spacing w:val="0"/>
              </w:rPr>
              <w:t>) </w:t>
            </w:r>
          </w:p>
        </w:tc>
      </w:tr>
      <w:tr>
        <w:trPr/>
        <w:tc>
          <w:tcPr>
            <w:tcW w:w="1085" w:type="dxa"/>
            <w:tcBorders/>
            <w:shd w:fill="CCEEFF" w:val="clear"/>
            <w:vAlign w:val="center"/>
          </w:tcPr>
          <w:p>
            <w:pPr>
              <w:pStyle w:val="TableContents"/>
              <w:bidi w:val="0"/>
              <w:spacing w:before="0" w:after="0"/>
              <w:jc w:val="left"/>
              <w:rPr>
                <w:rFonts w:ascii="Times New Roman" w:hAnsi="Times New Roman"/>
                <w:b/>
                <w:spacing w:val="0"/>
                <w:sz w:val="18"/>
              </w:rPr>
            </w:pPr>
            <w:r>
              <w:rPr>
                <w:rFonts w:ascii="Times New Roman" w:hAnsi="Times New Roman"/>
                <w:b/>
                <w:spacing w:val="0"/>
                <w:sz w:val="18"/>
              </w:rPr>
              <w:t>Balance, September 30, 2024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1571" w:type="dxa"/>
            <w:tcBorders/>
            <w:shd w:fill="CCEEFF" w:val="clear"/>
            <w:vAlign w:val="center"/>
          </w:tcPr>
          <w:p>
            <w:pPr>
              <w:pStyle w:val="TableContents"/>
              <w:bidi w:val="0"/>
              <w:spacing w:before="0" w:after="0"/>
              <w:jc w:val="righ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 </w:t>
            </w:r>
          </w:p>
        </w:tc>
        <w:tc>
          <w:tcPr>
            <w:tcW w:w="72" w:type="dxa"/>
            <w:tcBorders/>
            <w:shd w:fill="CCEEFF" w:val="clear"/>
            <w:vAlign w:val="center"/>
          </w:tcPr>
          <w:p>
            <w:pPr>
              <w:pStyle w:val="TableContents"/>
              <w:bidi w:val="0"/>
              <w:spacing w:before="0" w:after="0"/>
              <w:jc w:val="left"/>
              <w:rPr>
                <w:spacing w:val="0"/>
              </w:rPr>
            </w:pPr>
            <w:r>
              <w:rPr>
                <w:spacing w:val="0"/>
              </w:rPr>
              <w:t> </w:t>
            </w:r>
          </w:p>
        </w:tc>
        <w:tc>
          <w:tcPr>
            <w:tcW w:w="298" w:type="dxa"/>
            <w:tcBorders/>
            <w:shd w:fill="CCEEFF" w:val="clear"/>
            <w:vAlign w:val="center"/>
          </w:tcPr>
          <w:p>
            <w:pPr>
              <w:pStyle w:val="TableContents"/>
              <w:bidi w:val="0"/>
              <w:spacing w:before="0" w:after="0"/>
              <w:jc w:val="left"/>
              <w:rPr>
                <w:spacing w:val="0"/>
              </w:rPr>
            </w:pPr>
            <w:r>
              <w:rPr>
                <w:spacing w:val="0"/>
              </w:rPr>
              <w:t>$</w:t>
            </w:r>
          </w:p>
        </w:tc>
        <w:tc>
          <w:tcPr>
            <w:tcW w:w="562"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200,000,000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01" w:type="dxa"/>
            <w:tcBorders/>
            <w:shd w:fill="CCEEFF" w:val="clear"/>
            <w:vAlign w:val="center"/>
          </w:tcPr>
          <w:p>
            <w:pPr>
              <w:pStyle w:val="TableContents"/>
              <w:bidi w:val="0"/>
              <w:spacing w:before="0" w:after="0"/>
              <w:jc w:val="left"/>
              <w:rPr>
                <w:spacing w:val="0"/>
              </w:rPr>
            </w:pPr>
            <w:r>
              <w:rPr>
                <w:spacing w:val="0"/>
              </w:rPr>
              <w:t>$</w:t>
            </w:r>
          </w:p>
        </w:tc>
        <w:tc>
          <w:tcPr>
            <w:tcW w:w="559" w:type="dxa"/>
            <w:tcBorders/>
            <w:shd w:fill="CCEEFF" w:val="clear"/>
            <w:vAlign w:val="center"/>
          </w:tcPr>
          <w:p>
            <w:pPr>
              <w:pStyle w:val="TableContents"/>
              <w:bidi w:val="0"/>
              <w:spacing w:before="0" w:after="0"/>
              <w:jc w:val="right"/>
              <w:rPr>
                <w:spacing w:val="0"/>
              </w:rPr>
            </w:pPr>
            <w:r>
              <w:rPr>
                <w:spacing w:val="0"/>
              </w:rPr>
              <w:t>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0"/>
              <w:jc w:val="left"/>
              <w:rPr>
                <w:spacing w:val="0"/>
              </w:rPr>
            </w:pPr>
            <w:r>
              <w:rPr>
                <w:spacing w:val="0"/>
              </w:rPr>
              <w:t>$</w:t>
            </w:r>
          </w:p>
        </w:tc>
        <w:tc>
          <w:tcPr>
            <w:tcW w:w="913" w:type="dxa"/>
            <w:tcBorders/>
            <w:shd w:fill="CCEEFF" w:val="clear"/>
            <w:vAlign w:val="center"/>
          </w:tcPr>
          <w:p>
            <w:pPr>
              <w:pStyle w:val="TableContents"/>
              <w:bidi w:val="0"/>
              <w:spacing w:before="0" w:after="0"/>
              <w:jc w:val="right"/>
              <w:rPr>
                <w:spacing w:val="0"/>
              </w:rPr>
            </w:pPr>
            <w:r>
              <w:rPr>
                <w:spacing w:val="0"/>
              </w:rPr>
              <w:t>72,580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88" w:type="dxa"/>
            <w:tcBorders/>
            <w:shd w:fill="CCEEFF" w:val="clear"/>
            <w:vAlign w:val="center"/>
          </w:tcPr>
          <w:p>
            <w:pPr>
              <w:pStyle w:val="TableContents"/>
              <w:bidi w:val="0"/>
              <w:spacing w:before="0" w:after="0"/>
              <w:jc w:val="left"/>
              <w:rPr>
                <w:spacing w:val="0"/>
              </w:rPr>
            </w:pPr>
            <w:r>
              <w:rPr>
                <w:spacing w:val="0"/>
              </w:rPr>
              <w:t>$</w:t>
            </w:r>
          </w:p>
        </w:tc>
        <w:tc>
          <w:tcPr>
            <w:tcW w:w="1182" w:type="dxa"/>
            <w:tcBorders/>
            <w:shd w:fill="CCEEFF" w:val="clear"/>
            <w:vAlign w:val="center"/>
          </w:tcPr>
          <w:p>
            <w:pPr>
              <w:pStyle w:val="TableContents"/>
              <w:bidi w:val="0"/>
              <w:spacing w:before="0" w:after="0"/>
              <w:jc w:val="right"/>
              <w:rPr>
                <w:spacing w:val="0"/>
              </w:rPr>
            </w:pPr>
            <w:r>
              <w:rPr>
                <w:spacing w:val="0"/>
              </w:rPr>
              <w:t>(114,608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21" w:type="dxa"/>
            <w:tcBorders/>
            <w:shd w:fill="CCEEFF" w:val="clear"/>
            <w:vAlign w:val="center"/>
          </w:tcPr>
          <w:p>
            <w:pPr>
              <w:pStyle w:val="TableContents"/>
              <w:bidi w:val="0"/>
              <w:spacing w:before="0" w:after="0"/>
              <w:jc w:val="left"/>
              <w:rPr>
                <w:spacing w:val="0"/>
              </w:rPr>
            </w:pPr>
            <w:r>
              <w:rPr>
                <w:spacing w:val="0"/>
              </w:rPr>
              <w:t>$</w:t>
            </w:r>
          </w:p>
        </w:tc>
        <w:tc>
          <w:tcPr>
            <w:tcW w:w="1194" w:type="dxa"/>
            <w:tcBorders/>
            <w:shd w:fill="CCEEFF" w:val="clear"/>
            <w:vAlign w:val="center"/>
          </w:tcPr>
          <w:p>
            <w:pPr>
              <w:pStyle w:val="TableContents"/>
              <w:bidi w:val="0"/>
              <w:spacing w:before="0" w:after="0"/>
              <w:jc w:val="right"/>
              <w:rPr>
                <w:spacing w:val="0"/>
              </w:rPr>
            </w:pPr>
            <w:r>
              <w:rPr>
                <w:spacing w:val="0"/>
              </w:rPr>
              <w:t>(42,008</w:t>
            </w:r>
          </w:p>
        </w:tc>
        <w:tc>
          <w:tcPr>
            <w:tcW w:w="170"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the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9117" w:type="dxa"/>
        <w:jc w:val="left"/>
        <w:tblInd w:w="0" w:type="dxa"/>
        <w:tblLayout w:type="fixed"/>
        <w:tblCellMar>
          <w:top w:w="0" w:type="dxa"/>
          <w:left w:w="0" w:type="dxa"/>
          <w:bottom w:w="0" w:type="dxa"/>
          <w:right w:w="0" w:type="dxa"/>
        </w:tblCellMar>
      </w:tblPr>
      <w:tblGrid>
        <w:gridCol w:w="6755"/>
        <w:gridCol w:w="120"/>
        <w:gridCol w:w="144"/>
        <w:gridCol w:w="905"/>
        <w:gridCol w:w="160"/>
        <w:gridCol w:w="62"/>
        <w:gridCol w:w="144"/>
        <w:gridCol w:w="657"/>
        <w:gridCol w:w="170"/>
      </w:tblGrid>
      <w:tr>
        <w:trPr/>
        <w:tc>
          <w:tcPr>
            <w:tcW w:w="67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br/>
              <w:t>September 30,</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80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w:t>
            </w:r>
          </w:p>
        </w:tc>
        <w:tc>
          <w:tcPr>
            <w:tcW w:w="905" w:type="dxa"/>
            <w:tcBorders/>
            <w:vAlign w:val="center"/>
          </w:tcPr>
          <w:p>
            <w:pPr>
              <w:pStyle w:val="TableContents"/>
              <w:bidi w:val="0"/>
              <w:spacing w:before="0" w:after="0"/>
              <w:jc w:val="right"/>
              <w:rPr>
                <w:spacing w:val="0"/>
              </w:rPr>
            </w:pPr>
            <w:r>
              <w:rPr>
                <w:spacing w:val="0"/>
              </w:rPr>
              <w:t>(154,258</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w:t>
            </w:r>
          </w:p>
        </w:tc>
        <w:tc>
          <w:tcPr>
            <w:tcW w:w="657" w:type="dxa"/>
            <w:tcBorders/>
            <w:vAlign w:val="center"/>
          </w:tcPr>
          <w:p>
            <w:pPr>
              <w:pStyle w:val="TableContents"/>
              <w:bidi w:val="0"/>
              <w:spacing w:before="0" w:after="0"/>
              <w:jc w:val="right"/>
              <w:rPr>
                <w:spacing w:val="0"/>
              </w:rPr>
            </w:pPr>
            <w:r>
              <w:rPr>
                <w:spacing w:val="0"/>
              </w:rPr>
              <w:t>(3,914</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for 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140,403</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523</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(10</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(5</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905" w:type="dxa"/>
            <w:tcBorders/>
            <w:shd w:fill="CCEEFF" w:val="clear"/>
            <w:vAlign w:val="center"/>
          </w:tcPr>
          <w:p>
            <w:pPr>
              <w:pStyle w:val="TableContents"/>
              <w:bidi w:val="0"/>
              <w:spacing w:before="0" w:after="0"/>
              <w:jc w:val="right"/>
              <w:rPr>
                <w:spacing w:val="0"/>
              </w:rPr>
            </w:pPr>
            <w:r>
              <w:rPr>
                <w:spacing w:val="0"/>
              </w:rPr>
              <w:t>9,851</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657" w:type="dxa"/>
            <w:tcBorders/>
            <w:shd w:fill="CCEEFF" w:val="clear"/>
            <w:vAlign w:val="center"/>
          </w:tcPr>
          <w:p>
            <w:pPr>
              <w:pStyle w:val="TableContents"/>
              <w:bidi w:val="0"/>
              <w:spacing w:before="0" w:after="0"/>
              <w:jc w:val="right"/>
              <w:rPr>
                <w:spacing w:val="0"/>
              </w:rPr>
            </w:pPr>
            <w:r>
              <w:rPr>
                <w:spacing w:val="0"/>
              </w:rPr>
              <w:t>— </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521</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905" w:type="dxa"/>
            <w:tcBorders/>
            <w:shd w:fill="CCEEFF" w:val="clear"/>
            <w:vAlign w:val="center"/>
          </w:tcPr>
          <w:p>
            <w:pPr>
              <w:pStyle w:val="TableContents"/>
              <w:bidi w:val="0"/>
              <w:spacing w:before="0" w:after="0"/>
              <w:jc w:val="right"/>
              <w:rPr>
                <w:spacing w:val="0"/>
              </w:rPr>
            </w:pPr>
            <w:r>
              <w:rPr>
                <w:spacing w:val="0"/>
              </w:rPr>
              <w:t>1,231</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657" w:type="dxa"/>
            <w:tcBorders/>
            <w:shd w:fill="CCEEFF" w:val="clear"/>
            <w:vAlign w:val="center"/>
          </w:tcPr>
          <w:p>
            <w:pPr>
              <w:pStyle w:val="TableContents"/>
              <w:bidi w:val="0"/>
              <w:spacing w:before="0" w:after="0"/>
              <w:jc w:val="right"/>
              <w:rPr>
                <w:spacing w:val="0"/>
              </w:rPr>
            </w:pPr>
            <w:r>
              <w:rPr>
                <w:spacing w:val="0"/>
              </w:rPr>
              <w:t>(88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(2,262</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(3,484</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Business Combination</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26</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related party loans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905" w:type="dxa"/>
            <w:tcBorders/>
            <w:shd w:fill="CCEEFF" w:val="clear"/>
            <w:vAlign w:val="center"/>
          </w:tcPr>
          <w:p>
            <w:pPr>
              <w:pStyle w:val="TableContents"/>
              <w:bidi w:val="0"/>
              <w:spacing w:before="0" w:after="0"/>
              <w:jc w:val="right"/>
              <w:rPr>
                <w:spacing w:val="0"/>
              </w:rPr>
            </w:pPr>
            <w:r>
              <w:rPr>
                <w:spacing w:val="0"/>
              </w:rPr>
              <w:t>9,911</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657" w:type="dxa"/>
            <w:tcBorders/>
            <w:shd w:fill="CCEEFF" w:val="clear"/>
            <w:vAlign w:val="center"/>
          </w:tcPr>
          <w:p>
            <w:pPr>
              <w:pStyle w:val="TableContents"/>
              <w:bidi w:val="0"/>
              <w:spacing w:before="0" w:after="0"/>
              <w:jc w:val="right"/>
              <w:rPr>
                <w:spacing w:val="0"/>
              </w:rPr>
            </w:pPr>
            <w:r>
              <w:rPr>
                <w:spacing w:val="0"/>
              </w:rPr>
              <w:t>7,059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of deferred offering costs</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(7,602</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(3,574</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provided by financing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905" w:type="dxa"/>
            <w:tcBorders/>
            <w:shd w:fill="CCEEFF" w:val="clear"/>
            <w:vAlign w:val="center"/>
          </w:tcPr>
          <w:p>
            <w:pPr>
              <w:pStyle w:val="TableContents"/>
              <w:bidi w:val="0"/>
              <w:spacing w:before="0" w:after="0"/>
              <w:jc w:val="right"/>
              <w:rPr>
                <w:spacing w:val="0"/>
              </w:rPr>
            </w:pPr>
            <w:r>
              <w:rPr>
                <w:spacing w:val="0"/>
              </w:rPr>
              <w:t>2,335</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657" w:type="dxa"/>
            <w:tcBorders/>
            <w:shd w:fill="CCEEFF" w:val="clear"/>
            <w:vAlign w:val="center"/>
          </w:tcPr>
          <w:p>
            <w:pPr>
              <w:pStyle w:val="TableContents"/>
              <w:bidi w:val="0"/>
              <w:spacing w:before="0" w:after="0"/>
              <w:jc w:val="right"/>
              <w:rPr>
                <w:spacing w:val="0"/>
              </w:rPr>
            </w:pPr>
            <w:r>
              <w:rPr>
                <w:spacing w:val="0"/>
              </w:rPr>
              <w:t>3,485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change in cash and cash equivalents</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905" w:type="dxa"/>
            <w:tcBorders/>
            <w:vAlign w:val="center"/>
          </w:tcPr>
          <w:p>
            <w:pPr>
              <w:pStyle w:val="TableContents"/>
              <w:bidi w:val="0"/>
              <w:spacing w:before="0" w:after="0"/>
              <w:jc w:val="right"/>
              <w:rPr>
                <w:spacing w:val="0"/>
              </w:rPr>
            </w:pPr>
            <w:r>
              <w:rPr>
                <w:spacing w:val="0"/>
              </w:rPr>
              <w:t>73</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 </w:t>
            </w:r>
          </w:p>
        </w:tc>
        <w:tc>
          <w:tcPr>
            <w:tcW w:w="657" w:type="dxa"/>
            <w:tcBorders/>
            <w:vAlign w:val="center"/>
          </w:tcPr>
          <w:p>
            <w:pPr>
              <w:pStyle w:val="TableContents"/>
              <w:bidi w:val="0"/>
              <w:spacing w:before="0" w:after="0"/>
              <w:jc w:val="right"/>
              <w:rPr>
                <w:spacing w:val="0"/>
              </w:rPr>
            </w:pPr>
            <w:r>
              <w:rPr>
                <w:spacing w:val="0"/>
              </w:rPr>
              <w:t>1</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at beginning of period</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905" w:type="dxa"/>
            <w:tcBorders/>
            <w:shd w:fill="CCEEFF" w:val="clear"/>
            <w:vAlign w:val="center"/>
          </w:tcPr>
          <w:p>
            <w:pPr>
              <w:pStyle w:val="TableContents"/>
              <w:bidi w:val="0"/>
              <w:spacing w:before="0" w:after="0"/>
              <w:jc w:val="right"/>
              <w:rPr>
                <w:spacing w:val="0"/>
              </w:rPr>
            </w:pPr>
            <w:r>
              <w:rPr>
                <w:spacing w:val="0"/>
              </w:rPr>
              <w:t>12</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0"/>
              <w:jc w:val="left"/>
              <w:rPr>
                <w:spacing w:val="0"/>
              </w:rPr>
            </w:pPr>
            <w:r>
              <w:rPr>
                <w:spacing w:val="0"/>
              </w:rPr>
              <w:t> </w:t>
            </w:r>
          </w:p>
        </w:tc>
        <w:tc>
          <w:tcPr>
            <w:tcW w:w="657" w:type="dxa"/>
            <w:tcBorders/>
            <w:shd w:fill="CCEEFF" w:val="clear"/>
            <w:vAlign w:val="center"/>
          </w:tcPr>
          <w:p>
            <w:pPr>
              <w:pStyle w:val="TableContents"/>
              <w:bidi w:val="0"/>
              <w:spacing w:before="0" w:after="0"/>
              <w:jc w:val="right"/>
              <w:rPr>
                <w:spacing w:val="0"/>
              </w:rPr>
            </w:pPr>
            <w:r>
              <w:rPr>
                <w:spacing w:val="0"/>
              </w:rPr>
              <w:t>12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at end of period</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w:t>
            </w:r>
          </w:p>
        </w:tc>
        <w:tc>
          <w:tcPr>
            <w:tcW w:w="905" w:type="dxa"/>
            <w:tcBorders/>
            <w:vAlign w:val="center"/>
          </w:tcPr>
          <w:p>
            <w:pPr>
              <w:pStyle w:val="TableContents"/>
              <w:bidi w:val="0"/>
              <w:spacing w:before="0" w:after="0"/>
              <w:jc w:val="right"/>
              <w:rPr>
                <w:spacing w:val="0"/>
              </w:rPr>
            </w:pPr>
            <w:r>
              <w:rPr>
                <w:spacing w:val="0"/>
              </w:rPr>
              <w:t>85</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w:t>
            </w:r>
          </w:p>
        </w:tc>
        <w:tc>
          <w:tcPr>
            <w:tcW w:w="657" w:type="dxa"/>
            <w:tcBorders/>
            <w:vAlign w:val="center"/>
          </w:tcPr>
          <w:p>
            <w:pPr>
              <w:pStyle w:val="TableContents"/>
              <w:bidi w:val="0"/>
              <w:spacing w:before="0" w:after="0"/>
              <w:jc w:val="right"/>
              <w:rPr>
                <w:spacing w:val="0"/>
              </w:rPr>
            </w:pPr>
            <w:r>
              <w:rPr>
                <w:spacing w:val="0"/>
              </w:rPr>
              <w:t>13</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1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Related party debt settled in preferred stock pursuant to Debt Exchange Agreement</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w:t>
            </w:r>
          </w:p>
        </w:tc>
        <w:tc>
          <w:tcPr>
            <w:tcW w:w="905" w:type="dxa"/>
            <w:tcBorders/>
            <w:vAlign w:val="center"/>
          </w:tcPr>
          <w:p>
            <w:pPr>
              <w:pStyle w:val="TableContents"/>
              <w:bidi w:val="0"/>
              <w:spacing w:before="0" w:after="0"/>
              <w:jc w:val="right"/>
              <w:rPr>
                <w:spacing w:val="0"/>
              </w:rPr>
            </w:pPr>
            <w:r>
              <w:rPr>
                <w:spacing w:val="0"/>
              </w:rPr>
              <w:t>54,236</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rPr>
            </w:pPr>
            <w:r>
              <w:rPr>
                <w:spacing w:val="0"/>
              </w:rPr>
              <w:t>$</w:t>
            </w:r>
          </w:p>
        </w:tc>
        <w:tc>
          <w:tcPr>
            <w:tcW w:w="657"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0"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1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See accompanying notes to the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SEMNUR PHARMACEUTICALS,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Note 1. Nature of Operations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Organization and Principal Activities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Semnur Pharmaceuticals, Inc. (“Semnur” or the “Company”) is the successor entity to Denali Capital Acquisition Corp. (“Denali”). The Company is a Delaware corporation and is headquartered in Palo Alto, California. As of September 30, 2025, the Company has two wholly owned subsidiaries, Semnur (BVI), Limited and Semnur, Inc.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Denali was formed on January 5, 2022 as a Cayman Islands exempted company for the purpose of effecting a merger, share exchange, asset acquisition, share purchase, reorganization or similar business combination with one or more businesses or entities. Denali’s initial public offering (the “IPO”) became effective on April 6,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Semnur Pharmaceuticals, Inc. (“Legacy Semnur” (as defined below) and now known as “Semnur, Inc.”) was originally formed in 2013 and became a wholly owned subsidiary of Scilex Holding Company (“Scilex”) in 2019.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late-stage clinical biopharmaceutical company focused on developing and commercializing innovative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non-opioid</w:t>
      </w:r>
    </w:p>
    <w:p>
      <w:pPr>
        <w:pStyle w:val="TextBody"/>
        <w:bidi w:val="0"/>
        <w:spacing w:before="240" w:after="0"/>
        <w:jc w:val="left"/>
        <w:rPr>
          <w:rFonts w:ascii="Times New Roman" w:hAnsi="Times New Roman"/>
          <w:sz w:val="20"/>
        </w:rPr>
      </w:pPr>
      <w:r>
        <w:rPr>
          <w:rFonts w:ascii="Times New Roman" w:hAnsi="Times New Roman"/>
          <w:sz w:val="20"/>
        </w:rPr>
        <w:t xml:space="preserve">pain management products for the treatment of acute and chronic pain.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lead product candidate 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z w:val="20"/>
        </w:rPr>
      </w:pPr>
      <w:r>
        <w:rPr>
          <w:rFonts w:ascii="Times New Roman" w:hAnsi="Times New Roman"/>
          <w:sz w:val="20"/>
        </w:rPr>
        <w:t xml:space="preserve">(10 mg, dexamethasone sodium phosphate viscous gel)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z w:val="20"/>
        </w:rPr>
      </w:pPr>
      <w:r>
        <w:rPr>
          <w:rFonts w:ascii="Times New Roman" w:hAnsi="Times New Roman"/>
          <w:sz w:val="20"/>
        </w:rPr>
        <w:t xml:space="preserve">or “SEMDEXA”), a novel, viscous gel formulation of a widely used corticosteroid for epidural injections to treat lumbosacral radicular pain, or sciatica, for which the Company has completed a pivotal Phase 3 study and initiated the second Phase 3 study in September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Combination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References to “Legacy Semnur” refer to the private Delaware corporation that is now the Company’s wholly owned subsidiary and named Semnur, Inc. (formerly known as “Semnur Pharmaceuticals, Inc.”). Unless otherwise noted or the context requires otherwise, references to “Common Stock” refer to the Company’s common stock, par value $0.0001 per share.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September 22, 2025 (the “Closing”), the Company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Pursuant to the Merger Agreement, the Company acquired all of the issued and outstanding equity interests of Legacy Semnur and Denali.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Common Stock and warrants were listed on the OTC Markets Group, Inc. on September 23, 2025 under the new ticker symbols “SMNR” and “SMNRW”,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accordance with the terms and subject to the conditions of the Merger Agreement, at Closing, (i) each outstanding share of Legacy Semnur common stock outstanding immediately prior to Closing was automatically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cancelled in exchange for the right to receive 1.25 shares (the “Exchange Ratio”) of Common Stock, (ii) each share of Legacy Semnur preferred stock outstanding immediately prior to the Closing was cancelled in exchange for the right to receive (a) one share of Series A Preferred Stock (as defined in Note 6)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(b) one-tenth</w:t>
      </w:r>
    </w:p>
    <w:p>
      <w:pPr>
        <w:pStyle w:val="TextBody"/>
        <w:bidi w:val="0"/>
        <w:spacing w:before="0" w:after="0"/>
        <w:jc w:val="left"/>
        <w:rPr>
          <w:rFonts w:ascii="Times New Roman" w:hAnsi="Times New Roman"/>
          <w:sz w:val="20"/>
        </w:rPr>
      </w:pPr>
      <w:r>
        <w:rPr>
          <w:rFonts w:ascii="Times New Roman" w:hAnsi="Times New Roman"/>
          <w:sz w:val="20"/>
        </w:rPr>
        <w:t xml:space="preserve">of one share of Common Stock, and (iii) each option to purchase shares of Legacy Semnur common stock outstanding as of immediately prior to the Closing was converted into the right to receive a comparable option to purchase shares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such, 160,000,000 shares of Legacy Semnur common stock held by Scilex and 40,000,0000 Legacy Semnur stock options, respectively, were automatically cancelled in exchange for 200,000,000 shares of Common Stock and 50,000,000 options to purchase Common Stock, respectively, at the Exchange Ratio.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terms of the Debt Exchange Agreement (as defined in Note 8), all existing related party indebtedness between the Company and Scilex, totaling $54.2 million, was converted into 5,423,606 shares of Legacy Semnur Series A preferred stock. At Closing, such shares were exchanged for 5,423,606 shares of Series A Preferred Stock and 542,361 shares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Additionally, at Closing, (i) loans between Scilex and Denali of $0.1 million were converted to 12,488 shares of Common Stock, (ii) 500,000 ordinary shares of Denali held by Scilex (see SIPA below) were converted into 500,000 shares of Common Stock and (iv) 2,072,500 ordinary shares of Denali held by Sponsor (the “Sponsor Shares”) were converted into 2,072,500 shares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Simultaneously with the Closing, 26,500,000 shares of Common Stock were issued to consultants (see Note 6) and 100,000 shares of Common Stock were issued to Denali underwriters (see Note 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summarizes the Company’s Common Stock immediately following the Business Combination: </w:t>
      </w:r>
    </w:p>
    <w:p>
      <w:pPr>
        <w:pStyle w:val="TextBody"/>
        <w:bidi w:val="0"/>
        <w:spacing w:before="0" w:after="0"/>
        <w:jc w:val="left"/>
        <w:rPr>
          <w:spacing w:val="0"/>
        </w:rPr>
      </w:pPr>
      <w:r>
        <w:rPr>
          <w:spacing w:val="0"/>
        </w:rPr>
        <w:t> </w:t>
      </w:r>
    </w:p>
    <w:tbl>
      <w:tblPr>
        <w:tblW w:w="3685" w:type="dxa"/>
        <w:jc w:val="left"/>
        <w:tblInd w:w="0" w:type="dxa"/>
        <w:tblLayout w:type="fixed"/>
        <w:tblCellMar>
          <w:top w:w="0" w:type="dxa"/>
          <w:left w:w="0" w:type="dxa"/>
          <w:bottom w:w="0" w:type="dxa"/>
          <w:right w:w="0" w:type="dxa"/>
        </w:tblCellMar>
      </w:tblPr>
      <w:tblGrid>
        <w:gridCol w:w="2210"/>
        <w:gridCol w:w="120"/>
        <w:gridCol w:w="60"/>
        <w:gridCol w:w="122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Holders</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Shares</w:t>
            </w:r>
          </w:p>
        </w:tc>
        <w:tc>
          <w:tcPr>
            <w:tcW w:w="75" w:type="dxa"/>
            <w:tcBorders/>
            <w:vAlign w:val="center"/>
          </w:tcPr>
          <w:p>
            <w:pPr>
              <w:pStyle w:val="TableContents"/>
              <w:bidi w:val="0"/>
              <w:spacing w:before="0" w:after="0"/>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Denali public shareholders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13,629</w:t>
            </w:r>
          </w:p>
        </w:tc>
        <w:tc>
          <w:tcPr>
            <w:tcW w:w="75" w:type="dxa"/>
            <w:tcBorders/>
            <w:shd w:fill="CCEEFF" w:val="clear"/>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Sponsor</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2,072,500</w:t>
            </w:r>
          </w:p>
        </w:tc>
        <w:tc>
          <w:tcPr>
            <w:tcW w:w="75" w:type="dxa"/>
            <w:tcBorders/>
            <w:vAlign w:val="center"/>
          </w:tcPr>
          <w:p>
            <w:pPr>
              <w:pStyle w:val="TableContents"/>
              <w:bidi w:val="0"/>
              <w:spacing w:before="0" w:after="0"/>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Scilex Holding Company</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201,054,849</w:t>
            </w:r>
          </w:p>
        </w:tc>
        <w:tc>
          <w:tcPr>
            <w:tcW w:w="75" w:type="dxa"/>
            <w:tcBorders/>
            <w:shd w:fill="CCEEFF" w:val="clear"/>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Consultants</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26,500,000</w:t>
            </w:r>
          </w:p>
        </w:tc>
        <w:tc>
          <w:tcPr>
            <w:tcW w:w="75" w:type="dxa"/>
            <w:tcBorders/>
            <w:vAlign w:val="center"/>
          </w:tcPr>
          <w:p>
            <w:pPr>
              <w:pStyle w:val="TableContents"/>
              <w:bidi w:val="0"/>
              <w:spacing w:before="0" w:after="0"/>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Denali underwriters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100,000</w:t>
            </w:r>
          </w:p>
        </w:tc>
        <w:tc>
          <w:tcPr>
            <w:tcW w:w="75" w:type="dxa"/>
            <w:tcBorders/>
            <w:shd w:fill="CCEEFF" w:val="clear"/>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229,740,978</w:t>
            </w:r>
          </w:p>
        </w:tc>
        <w:tc>
          <w:tcPr>
            <w:tcW w:w="7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Business Combination was accounted for as a reverse recapitalization. Because Scilex controlled the Company before the Business Combination and will also control the Company following the Business Combination, Denali was treated as the “acquired” company for financial reporting purposes. Accordingly, the Business Combination was treated as the equivalent of Legacy Semnur issuing stock for the net assets of Denali, accompanied by a recapitalization whereby the net assets of Denali will be stated at historical cost and no goodwill or other intangible assets are recorded.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Sponsor Interest Purchase Agreement (the “SIPA”)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connection with the execution and delivery of the Merger Agreement, Denali Capital Global Investments LLC (the “Sponsor”) and Scilex entered into the SIPA dated August 30, 2024. Pursuant to the SIPA, Scilex agreed to purchase 500,000 Class B ordinary shares, par value $0.0001 per share (the “Purchased Interests”), of the Company that were held by the Sponsor. The aggregate consideration for the purchase and sale of the Purchased Interests is as follows: (i) $2.0 million (the “Cash Consideration”) and (ii) 300,000 shares of common stock, par value $0.0001 per share, of Scilex (the “Scilex Shares”). Pursuant to the SIPA, Scilex paid the Cash Consideration and agreed to issue the Scilex Shares to the Sponsor contingent upon and following the occurrence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Business Combination. The Purchased Interests converted automatically,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0" w:after="0"/>
        <w:jc w:val="left"/>
        <w:rPr>
          <w:rFonts w:ascii="Times New Roman" w:hAnsi="Times New Roman"/>
          <w:sz w:val="20"/>
        </w:rPr>
      </w:pPr>
      <w:r>
        <w:rPr>
          <w:rFonts w:ascii="Times New Roman" w:hAnsi="Times New Roman"/>
          <w:sz w:val="20"/>
        </w:rPr>
        <w:t xml:space="preserve">basis, into one Common Stock share upon Closing pursuant to the terms of the Merger Agreement. On September 22, 2025, the requirement to deliver the Scilex Shares was discharged pursuant to that certain Satisfaction and Discharge Agreement by and among the Company, Sponsor and Scilex.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Securities Purchase Agreement (the “PIPE SPA”)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20, 2025, the Company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As of September 30, 2025, the transaction has not closed and accordingly, the shares have not been issued and the funds have not been received. In the event the transaction does not close on or before December 31, 2025, the nonbreaching party has an option to terminate the PIPE SPA without liability.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connection with the PIPE SPA, the Company is obligated to pay a cash financing service fee of 7% of the received investment funds (see Note 6 section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Consulting Services Agreement with JW Investment Management Company Limited</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Bitcoin Securities Purchase Agreement (the “Semnur/Biconomy SPA”)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23, 2025, the Company entered into the Semnur/Biconomy SPA with Biconomy PTE.LTD (“Biconomy”). Pursuant to the Semnur/Biconomy SPA, the Company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As of September 30, 2025, the transaction has not closed and accordingly, the shares have not been issued and the funds have not been received. In the event the transaction does not close on or before December 31, 2025, the nonbreaching party has an option to terminate the Semnur/Biconomy SPA without liability.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Public Warrants and Private Placement 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Upon completion of the Business Combination, public and private placement warrants that were issued by Denali in connection with its IPO (“Public Warrants” and “Private Warrants”) remained outstanding and pursuant to the terms thereof holders of such warrants are entitled to acquire ordinary shares of Denali.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September 30, 2025 there were 8,760,000 warrants outstanding at an exercise price of $11.50 per share. The warrants are exercisable 30 days after the Closing for Common Stock and will expire five years after or earlier upon redemption or liquidation.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unaudited condensed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unaudited condensed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2025, the Company had cash and cash equivalents of $0.1 million and accumulated deficit of $269.6 million. During the nine months ended September 30, 2025, the Company had operating losses of $154.3 million and negative cash flows from operations of $2.3 million. The Company is dependent upon Scilex to provide services and funding to support the operations of the Company until, at least, such time as external financing is obtained. The Company expects to incur significant expenses and operating losses for the foreseeable future as it continues its efforts to develop and seek regulatory approval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need additional financing to fund its ongoing activities. The Company may obtain additional funding through a combination of equity offerings, debt financings, collaborations, government contracts or other capital sources, including potential collaborations with other companies or other strategic transactions. The Company’s plans are also dependent upon the success of future development and regulatory approval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condensed consolidated financial statements are issued.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Forward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August 30, 2024, the Company effected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160,000-for-1</w:t>
      </w:r>
    </w:p>
    <w:p>
      <w:pPr>
        <w:pStyle w:val="TextBody"/>
        <w:bidi w:val="0"/>
        <w:spacing w:before="120" w:after="0"/>
        <w:jc w:val="left"/>
        <w:rPr>
          <w:rFonts w:ascii="Times New Roman" w:hAnsi="Times New Roman"/>
          <w:sz w:val="20"/>
        </w:rPr>
      </w:pPr>
      <w:r>
        <w:rPr>
          <w:rFonts w:ascii="Times New Roman" w:hAnsi="Times New Roman"/>
          <w:sz w:val="20"/>
        </w:rPr>
        <w:t xml:space="preserve">forward stock split of all outstanding shares of Common Stock which proportionally increased the number of all issued and outstanding shares of Common Stock from 1,000 to 160,000,000 and did not change the par value per share. All equity-related information including per share amounts for all periods presented within these condensed consolidated financial statements have been adjusted retroactively, where applicable, to reflect the forward stock split.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non-binding</w:t>
      </w:r>
    </w:p>
    <w:p>
      <w:pPr>
        <w:pStyle w:val="TextBody"/>
        <w:bidi w:val="0"/>
        <w:spacing w:before="120" w:after="0"/>
        <w:jc w:val="left"/>
        <w:rPr>
          <w:rFonts w:ascii="Times New Roman" w:hAnsi="Times New Roman"/>
          <w:sz w:val="20"/>
        </w:rPr>
      </w:pPr>
      <w:r>
        <w:rPr>
          <w:rFonts w:ascii="Times New Roman" w:hAnsi="Times New Roman"/>
          <w:sz w:val="20"/>
        </w:rPr>
        <w:t xml:space="preserve">advisory vote on executive compensation and stockholder approval of any golden parachute payments not previously approved.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2.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condensed consolidated financial statements include the accounts of the Company and its wholly owned subsidiaries and have been prepared in accordance with accounting principles generally accepted in the United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States of America (“GAAP”) and include all adjustments necessary for the fair presentation of the Company’s financial position for the periods presented. All intercompany balances and transactions have been eliminated in consolidation.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These interim condensed consolidated financial statements have been prepared on the same basis as the annual financial statements and, in the opinion of management, include all adjustments of a normal recurring nature necessary to present fairly, in all material respects, the Company’s financial position, results of operations and cash flows. These interim condensed consolidated financial statements should be read in conjunction with the financial statements for the year ended December 31, 2024. Operating results for the nine-month periods presented are not necessarily indicative of the results that may be expected for the Company’s 2025 fiscal year, or any subsequent period.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Carve-Out</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Method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Since 2019, the Company has operated as a wholly owned subsidiary of Scilex and the Company’s financial results have been historically included in Scilex’s consolidated financial results.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accompanying condensed consolidated financial statements reflect assets, liabilities, and expenses that are directly attributable to the Company, including the assets, liabilities, and expenses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development program. The assets and liabilities excluded from the accompanying condensed consolidated financial statements consist of: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Cash held by Scilex to fund the Company’s operations. Scilex uses a centralized approach to cash management and financing of its operations and those of its subsidiaries. Accordingly, only the cash and cash equivalents residing in the Company’s bank accounts and legally owned by the Company have been reflected in these condensed consolidated financial statements.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assets and liabilities at Scilex which are not directly related to, or are not specifically owned by, or are not commitments, of the Company, including certain fixed assets, intangible assets, and leases shared by the Company with other business operations of Scilex.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Third-party debt held by Scilex and the related interest expense have not been allocated to the Company’s condensed consolidated financial statements as the Company was not the legal obligor of the third-party debt and Scilex’s borrowings were not directly attributable to the Company. To fund the Company’s operating cash flow needs, Scilex made payments on behalf of the Company directly to vendors and allocated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stock-based compensation expenses during the nine months ended September 30, 2025. See Note 8 for additional details.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operating expenses consisted of both research and development (“R&amp;D”) and general and administrative (“G&amp;A”) expenses. R&amp;D expenses directly related to the Company, including third-party costs of conducting studies and clinical trials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product candidate, were entirely attributed to the Company in the accompanying condensed consolidated financial statements. R&amp;D salaries, wages, benefits, and stock-based compensation related to Scilex’s equity incentive plans were allocated to the Company based on the estimated percentage of time certain Scilex R&amp;D employees spent on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program during the reporting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also received services and support from other functions of Scilex. The Company’s operations are dependent upon the ability of these other functions to provide these services and support. The costs associated with these services and support were allocated to the Company based on the estimated percentage of time certain Scilex employees spent supporting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program. These allocated costs were primarily related to corporate administrative expenses, G&amp;A employee related costs, including salaries, stock-based compensation related to Scilex’s equity incentive plans, and other benefits for corporate employees, as well as other expenses for shared assets for the following functional groups: information technology, legal, accounting and finance, facilities, and other corporate and infrastructural services. These allocated costs were recorded as R&amp;D expenses and G&amp;A expenses in the statements of operations and comprehensive loss.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The Company believes the assumptions and allocations underlying the accompanying condensed consolidated financial statements were reasonable and appropriate under the circumstances. Nevertheless, the Company’s condensed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w:t>
      </w:r>
    </w:p>
    <w:p>
      <w:pPr>
        <w:pStyle w:val="TextBody"/>
        <w:bidi w:val="0"/>
        <w:spacing w:before="0" w:after="0"/>
        <w:jc w:val="left"/>
        <w:rPr>
          <w:rFonts w:ascii="Times New Roman" w:hAnsi="Times New Roman"/>
          <w:spacing w:val="0"/>
          <w:sz w:val="20"/>
        </w:rPr>
      </w:pPr>
      <w:r>
        <w:rPr>
          <w:rFonts w:ascii="Times New Roman" w:hAnsi="Times New Roman"/>
          <w:spacing w:val="0"/>
          <w:sz w:val="20"/>
        </w:rPr>
        <w:t>nd</w:t>
      </w:r>
    </w:p>
    <w:p>
      <w:pPr>
        <w:pStyle w:val="TextBody"/>
        <w:bidi w:val="0"/>
        <w:spacing w:before="0" w:after="0"/>
        <w:jc w:val="left"/>
        <w:rPr>
          <w:rFonts w:ascii="Times New Roman" w:hAnsi="Times New Roman"/>
          <w:spacing w:val="0"/>
          <w:sz w:val="20"/>
        </w:rPr>
      </w:pPr>
      <w:r>
        <w:rPr>
          <w:rFonts w:ascii="Times New Roman" w:hAnsi="Times New Roman"/>
          <w:spacing w:val="0"/>
          <w:sz w:val="20"/>
        </w:rPr>
        <w:t>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w:t>
      </w:r>
    </w:p>
    <w:p>
      <w:pPr>
        <w:pStyle w:val="TextBody"/>
        <w:bidi w:val="0"/>
        <w:spacing w:before="0" w:after="0"/>
        <w:jc w:val="left"/>
        <w:rPr>
          <w:rFonts w:ascii="Times New Roman" w:hAnsi="Times New Roman"/>
          <w:spacing w:val="0"/>
          <w:sz w:val="20"/>
        </w:rPr>
      </w:pPr>
      <w:r>
        <w:rPr>
          <w:rFonts w:ascii="Times New Roman" w:hAnsi="Times New Roman"/>
          <w:spacing w:val="0"/>
          <w:sz w:val="20"/>
        </w:rPr>
        <w:t>d in</w:t>
      </w:r>
    </w:p>
    <w:p>
      <w:pPr>
        <w:pStyle w:val="TextBody"/>
        <w:bidi w:val="0"/>
        <w:spacing w:before="0" w:after="0"/>
        <w:jc w:val="left"/>
        <w:rPr>
          <w:rFonts w:ascii="Times New Roman" w:hAnsi="Times New Roman"/>
          <w:spacing w:val="0"/>
          <w:sz w:val="20"/>
        </w:rPr>
      </w:pPr>
      <w:r>
        <w:rPr>
          <w:rFonts w:ascii="Times New Roman" w:hAnsi="Times New Roman"/>
          <w:spacing w:val="0"/>
          <w:sz w:val="20"/>
        </w:rPr>
        <w:t>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w:t>
      </w:r>
    </w:p>
    <w:p>
      <w:pPr>
        <w:pStyle w:val="TextBody"/>
        <w:bidi w:val="0"/>
        <w:spacing w:before="0" w:after="0"/>
        <w:jc w:val="left"/>
        <w:rPr>
          <w:rFonts w:ascii="Times New Roman" w:hAnsi="Times New Roman"/>
          <w:spacing w:val="0"/>
          <w:sz w:val="20"/>
        </w:rPr>
      </w:pPr>
      <w:r>
        <w:rPr>
          <w:rFonts w:ascii="Times New Roman" w:hAnsi="Times New Roman"/>
          <w:spacing w:val="0"/>
          <w:sz w:val="20"/>
        </w:rPr>
        <w:t>nd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cash flows.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preparation of these condensed consolidated financial statements in conformity with GAAP requires the Company to make estimates and assumptions that affect the reported amounts of assets and liabilities and the reported amounts of operating expenses during the reporting period. These estimates include, but are not limited to, fair value of financial instruments, useful lives of property and equipment, certain assumptions used to calculate the fair value of Scilex stock option awards, as well as the percentage of time certain Scilex employees spent supporting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program, which is used to calculate the amount of operating expenses allocated from Scilex as discussed in the </w:t>
      </w:r>
    </w:p>
    <w:p>
      <w:pPr>
        <w:pStyle w:val="TextBody"/>
        <w:bidi w:val="0"/>
        <w:spacing w:before="12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Carve-Out</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Method”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section above.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and Uncertainties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Any product candidates developed by the Company will require approvals from the U.S. Food and Drug Administration (the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condensed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subject to a number of risks similar to other late-stage 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that potentially subject the Company to concentrations of credit risk consist of a cash account in a financial institution, which, at times, may exceed the Federal Depository Insurance Coverage of $250,000. The Company has not experienced losses on this account.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Supply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contracts with third parties for the manufacture, assembly, testing, packaging and storage of its product candidate. The Company’s contract manufacturing organizations (“CMOs”) comply with Current Good Manufacturing Practice and regulatory requirements. The CMOs are selected for specific competencies having met the Company’s development, manufacturing, quality and the FDA regulatory requirements. These CMOs manufacture the Company’s clinical supplies and commercial batches. The Company currently has no plans to build its own manufacturing or distribution infrastructure. As clinical trial development progresses forward, the Company will continue to explore both internal capabilities as well as deepening and expanding external relationships to ensure it is able to meet manufacturing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Historically, the Company has purchased its clinical and commercial supply requirements for sodium hyaluronate, one of the excipients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z w:val="20"/>
        </w:rPr>
      </w:pPr>
      <w:r>
        <w:rPr>
          <w:rFonts w:ascii="Times New Roman" w:hAnsi="Times New Roman"/>
          <w:sz w:val="20"/>
        </w:rPr>
        <w:t xml:space="preserve">from Genzyme Corporation pursuant to a supply agreement, which was terminated as of May 31, 2024. Management anticipates that the current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on-hand</w:t>
      </w:r>
    </w:p>
    <w:p>
      <w:pPr>
        <w:pStyle w:val="TextBody"/>
        <w:bidi w:val="0"/>
        <w:spacing w:before="240" w:after="0"/>
        <w:jc w:val="left"/>
        <w:rPr>
          <w:rFonts w:ascii="Times New Roman" w:hAnsi="Times New Roman"/>
          <w:sz w:val="20"/>
        </w:rPr>
      </w:pPr>
      <w:r>
        <w:rPr>
          <w:rFonts w:ascii="Times New Roman" w:hAnsi="Times New Roman"/>
          <w:sz w:val="20"/>
        </w:rPr>
        <w:t xml:space="preserve">supply of sodium hyaluronate will be sufficient to satisfy the Company’s clinical and commercial supply requirements for sodium hyaluronate for at least 12 months following the future commercial launch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240" w:after="0"/>
        <w:jc w:val="left"/>
        <w:rPr>
          <w:rFonts w:ascii="Times New Roman" w:hAnsi="Times New Roman"/>
          <w:sz w:val="20"/>
        </w:rPr>
      </w:pPr>
      <w:r>
        <w:rPr>
          <w:rFonts w:ascii="Times New Roman" w:hAnsi="Times New Roman"/>
          <w:sz w:val="20"/>
        </w:rPr>
        <w:t xml:space="preserve">estimated to be in 2027.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Lifecore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2017, the Company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the Company granted Lifecore a nonexclusive, worldwide and royalty-free license under the Company’s owned or controlled intellectual property rights necessary to manufacture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120" w:after="0"/>
        <w:jc w:val="left"/>
        <w:rPr>
          <w:rFonts w:ascii="Times New Roman" w:hAnsi="Times New Roman"/>
          <w:sz w:val="20"/>
        </w:rPr>
      </w:pPr>
      <w:r>
        <w:rPr>
          <w:rFonts w:ascii="Times New Roman" w:hAnsi="Times New Roman"/>
          <w:sz w:val="20"/>
        </w:rPr>
        <w:t xml:space="preserve">without additional right, title or interest in the Company’s intellectual property.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(d) engages in any act which materially impairs goodwill associated with SEMDEXA or materially impairs the terminating party’s trademark or trade name. In addition, Lifecore may terminate the agreement if (i) Semnur fails to pay past due invoices upon 30 days’ written notice, or (ii) Semnur rejects or fails to respond to a major change or minor change proposed by Lifecore that does not change SEMDEXA’s written and approved acceptance criteria.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Lifecore Master Services Agreement contains customary reciprocal indemnification obligations for Lifecore and Semnur.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three and nine months ended September 30, 2025, the Company incurred expenses of $0.9 million related to the Lifecore Master Services Agreement.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segments are identified as components of an entity where separate discrete financial information is available for evaluation by the chief operating decision maker in making decisions on how to allocate resources and assesses performance. The Company has determined that its chief operating decision maker (“CODM”) is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Chief Executive Officer</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as he is responsible for making decisions regarding the allocation of resources and assessing performance as well as for strategic operational decisions. Since inception,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devoted all of its efforts to the development of </w:t>
      </w:r>
    </w:p>
    <w:p>
      <w:pPr>
        <w:pStyle w:val="TextBody"/>
        <w:bidi w:val="0"/>
        <w:spacing w:before="0" w:after="0"/>
        <w:jc w:val="left"/>
        <w:rPr>
          <w:rFonts w:ascii="Times New Roman" w:hAnsi="Times New Roman"/>
          <w:spacing w:val="0"/>
          <w:sz w:val="20"/>
        </w:rPr>
      </w:pPr>
      <w:r>
        <w:rPr>
          <w:rFonts w:ascii="Times New Roman" w:hAnsi="Times New Roman"/>
          <w:spacing w:val="0"/>
          <w:sz w:val="20"/>
        </w:rPr>
        <w:t>SP-102.</w:t>
      </w:r>
    </w:p>
    <w:p>
      <w:pPr>
        <w:pStyle w:val="TextBody"/>
        <w:bidi w:val="0"/>
        <w:spacing w:before="0" w:after="0"/>
        <w:jc w:val="left"/>
        <w:rPr>
          <w:rFonts w:ascii="Times New Roman" w:hAnsi="Times New Roman"/>
          <w:sz w:val="20"/>
        </w:rPr>
      </w:pPr>
      <w:r>
        <w:rPr>
          <w:rFonts w:ascii="Times New Roman" w:hAnsi="Times New Roman"/>
          <w:sz w:val="20"/>
        </w:rPr>
        <w:t xml:space="preserve">Accordingly, the Company has determined that it operates its business as a </w:t>
      </w:r>
    </w:p>
    <w:p>
      <w:pPr>
        <w:pStyle w:val="TextBody"/>
        <w:bidi w:val="0"/>
        <w:spacing w:before="0" w:after="0"/>
        <w:jc w:val="left"/>
        <w:rPr>
          <w:rFonts w:ascii="Times New Roman" w:hAnsi="Times New Roman"/>
          <w:sz w:val="20"/>
        </w:rPr>
      </w:pPr>
      <w:r>
        <w:rPr>
          <w:rFonts w:ascii="Times New Roman" w:hAnsi="Times New Roman"/>
          <w:sz w:val="20"/>
        </w:rPr>
        <w:t>single</w:t>
      </w:r>
    </w:p>
    <w:p>
      <w:pPr>
        <w:pStyle w:val="TextBody"/>
        <w:bidi w:val="0"/>
        <w:spacing w:before="0" w:after="0"/>
        <w:jc w:val="left"/>
        <w:rPr>
          <w:rFonts w:ascii="Times New Roman" w:hAnsi="Times New Roman"/>
          <w:sz w:val="20"/>
        </w:rPr>
      </w:pPr>
      <w:r>
        <w:rPr>
          <w:rFonts w:ascii="Times New Roman" w:hAnsi="Times New Roman"/>
          <w:sz w:val="20"/>
        </w:rPr>
        <w:t>operating segment and has one reportable segment. The CODM assesses performance and decides how to allocate resources based on net loss. Net loss is used to monitor budget versus actual results. The measure of segment net loss and segment expenses is reported on the condensed consolidated statements of operations and comprehensive loss. The measure of segment assets is r</w:t>
      </w:r>
    </w:p>
    <w:p>
      <w:pPr>
        <w:pStyle w:val="TextBody"/>
        <w:bidi w:val="0"/>
        <w:spacing w:before="0" w:after="0"/>
        <w:jc w:val="left"/>
        <w:rPr>
          <w:rFonts w:ascii="Times New Roman" w:hAnsi="Times New Roman"/>
          <w:sz w:val="20"/>
        </w:rPr>
      </w:pPr>
      <w:r>
        <w:rPr>
          <w:rFonts w:ascii="Times New Roman" w:hAnsi="Times New Roman"/>
          <w:sz w:val="20"/>
        </w:rPr>
        <w:t>epor</w:t>
      </w:r>
    </w:p>
    <w:p>
      <w:pPr>
        <w:pStyle w:val="TextBody"/>
        <w:bidi w:val="0"/>
        <w:spacing w:before="0" w:after="0"/>
        <w:jc w:val="left"/>
        <w:rPr>
          <w:rFonts w:ascii="Times New Roman" w:hAnsi="Times New Roman"/>
          <w:sz w:val="20"/>
        </w:rPr>
      </w:pPr>
      <w:r>
        <w:rPr>
          <w:rFonts w:ascii="Times New Roman" w:hAnsi="Times New Roman"/>
          <w:sz w:val="20"/>
        </w:rPr>
        <w:t>ted on the condensed co</w:t>
      </w:r>
    </w:p>
    <w:p>
      <w:pPr>
        <w:pStyle w:val="TextBody"/>
        <w:bidi w:val="0"/>
        <w:spacing w:before="0" w:after="0"/>
        <w:jc w:val="left"/>
        <w:rPr>
          <w:rFonts w:ascii="Times New Roman" w:hAnsi="Times New Roman"/>
          <w:sz w:val="20"/>
        </w:rPr>
      </w:pPr>
      <w:r>
        <w:rPr>
          <w:rFonts w:ascii="Times New Roman" w:hAnsi="Times New Roman"/>
          <w:sz w:val="20"/>
        </w:rPr>
        <w:t>ns</w:t>
      </w:r>
    </w:p>
    <w:p>
      <w:pPr>
        <w:pStyle w:val="TextBody"/>
        <w:bidi w:val="0"/>
        <w:spacing w:before="0" w:after="0"/>
        <w:jc w:val="left"/>
        <w:rPr>
          <w:rFonts w:ascii="Times New Roman" w:hAnsi="Times New Roman"/>
          <w:sz w:val="20"/>
        </w:rPr>
      </w:pPr>
      <w:r>
        <w:rPr>
          <w:rFonts w:ascii="Times New Roman" w:hAnsi="Times New Roman"/>
          <w:sz w:val="20"/>
        </w:rPr>
        <w:t xml:space="preserve">olidated balance sheets as total assets. All long-lived assets are maintained in the United States of America.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purchased with original maturities of three months or less to be cash equivalents, such as money market accounts. The Company minimizes its credit risk associated with cash and cash equivalents by periodically evaluating the credit quality of its primary financial institution.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Level</w:t>
      </w:r>
    </w:p>
    <w:p>
      <w:pPr>
        <w:pStyle w:val="TextBody"/>
        <w:bidi w:val="0"/>
        <w:spacing w:before="240" w:after="0"/>
        <w:jc w:val="left"/>
        <w:rPr>
          <w:spacing w:val="0"/>
        </w:rPr>
      </w:pPr>
      <w:r>
        <w:rPr>
          <w:spacing w:val="0"/>
        </w:rPr>
        <w:t> </w:t>
      </w:r>
      <w:r>
        <w:rPr>
          <w:rFonts w:ascii="Times New Roman" w:hAnsi="Times New Roman"/>
          <w:b/>
          <w:spacing w:val="0"/>
          <w:sz w:val="20"/>
        </w:rPr>
        <w:t>1 —</w:t>
      </w:r>
    </w:p>
    <w:p>
      <w:pPr>
        <w:pStyle w:val="TextBody"/>
        <w:bidi w:val="0"/>
        <w:spacing w:before="240" w:after="0"/>
        <w:jc w:val="left"/>
        <w:rPr>
          <w:rFonts w:ascii="Times New Roman" w:hAnsi="Times New Roman"/>
          <w:sz w:val="20"/>
        </w:rPr>
      </w:pPr>
      <w:r>
        <w:rPr>
          <w:rFonts w:ascii="Times New Roman" w:hAnsi="Times New Roman"/>
          <w:sz w:val="20"/>
        </w:rPr>
        <w:t xml:space="preserve">Observable inputs such as unadjusted, quoted prices in active markets for identical assets or liabilities at the measurement date;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Level</w:t>
      </w:r>
    </w:p>
    <w:p>
      <w:pPr>
        <w:pStyle w:val="TextBody"/>
        <w:bidi w:val="0"/>
        <w:spacing w:before="240" w:after="0"/>
        <w:jc w:val="left"/>
        <w:rPr>
          <w:spacing w:val="0"/>
        </w:rPr>
      </w:pPr>
      <w:r>
        <w:rPr>
          <w:spacing w:val="0"/>
        </w:rPr>
        <w:t> </w:t>
      </w:r>
      <w:r>
        <w:rPr>
          <w:rFonts w:ascii="Times New Roman" w:hAnsi="Times New Roman"/>
          <w:b/>
          <w:spacing w:val="0"/>
          <w:sz w:val="20"/>
        </w:rPr>
        <w:t>2 —</w:t>
      </w:r>
    </w:p>
    <w:p>
      <w:pPr>
        <w:pStyle w:val="TextBody"/>
        <w:bidi w:val="0"/>
        <w:spacing w:before="240" w:after="0"/>
        <w:jc w:val="left"/>
        <w:rPr>
          <w:rFonts w:ascii="Times New Roman" w:hAnsi="Times New Roman"/>
          <w:sz w:val="20"/>
        </w:rPr>
      </w:pPr>
      <w:r>
        <w:rPr>
          <w:rFonts w:ascii="Times New Roman" w:hAnsi="Times New Roman"/>
          <w:sz w:val="20"/>
        </w:rPr>
        <w:t xml:space="preserve">Inputs (other than quoted prices included in Level 1) that are either directly or indirectly observable inputs for similar assets or liabilities. These include quoted prices for identical or similar assets or liabilities in active markets and quoted prices for identical or similar assets or liabilities in markets that are not active; and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Level</w:t>
      </w:r>
    </w:p>
    <w:p>
      <w:pPr>
        <w:pStyle w:val="TextBody"/>
        <w:bidi w:val="0"/>
        <w:spacing w:before="240" w:after="0"/>
        <w:jc w:val="left"/>
        <w:rPr>
          <w:spacing w:val="0"/>
        </w:rPr>
      </w:pPr>
      <w:r>
        <w:rPr>
          <w:spacing w:val="0"/>
        </w:rPr>
        <w:t> </w:t>
      </w:r>
      <w:r>
        <w:rPr>
          <w:rFonts w:ascii="Times New Roman" w:hAnsi="Times New Roman"/>
          <w:b/>
          <w:spacing w:val="0"/>
          <w:sz w:val="20"/>
        </w:rPr>
        <w:t>3 —</w:t>
      </w:r>
    </w:p>
    <w:p>
      <w:pPr>
        <w:pStyle w:val="TextBody"/>
        <w:bidi w:val="0"/>
        <w:spacing w:before="240" w:after="0"/>
        <w:jc w:val="left"/>
        <w:rPr>
          <w:rFonts w:ascii="Times New Roman" w:hAnsi="Times New Roman"/>
          <w:sz w:val="20"/>
        </w:rPr>
      </w:pPr>
      <w:r>
        <w:rPr>
          <w:rFonts w:ascii="Times New Roman" w:hAnsi="Times New Roman"/>
          <w:sz w:val="20"/>
        </w:rPr>
        <w:t xml:space="preserve">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Financial instruments measured at fair value are classified in their entirety based on the lowest level of input that is significant to the fair value measurement. The Company’s assessment of the significance of a particular input to the fair value measurement in its entirety requires it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financial assets carried at fair value are comprised of cash and cash equivalents. Cash and cash equivalents consist of money market accounts and bank deposits which are highly liquid and readily tradable. These assets are Level 1 assets as they are valued using inputs observable in active markets for identical securities.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legal, accounting and other fees directly attributable to the Business Combination were deferred and capitalized within other current assets on the condensed consolidated balance sheets. Total costs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deferred and capitalized in relatio</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n to </w:t>
      </w:r>
    </w:p>
    <w:p>
      <w:pPr>
        <w:pStyle w:val="TextBody"/>
        <w:bidi w:val="0"/>
        <w:spacing w:before="0" w:after="0"/>
        <w:jc w:val="left"/>
        <w:rPr>
          <w:rFonts w:ascii="Times New Roman" w:hAnsi="Times New Roman"/>
          <w:spacing w:val="0"/>
          <w:sz w:val="20"/>
        </w:rPr>
      </w:pPr>
      <w:r>
        <w:rPr>
          <w:rFonts w:ascii="Times New Roman" w:hAnsi="Times New Roman"/>
          <w:spacing w:val="0"/>
          <w:sz w:val="20"/>
        </w:rPr>
        <w:t>the B</w:t>
      </w:r>
    </w:p>
    <w:p>
      <w:pPr>
        <w:pStyle w:val="TextBody"/>
        <w:bidi w:val="0"/>
        <w:spacing w:before="0" w:after="0"/>
        <w:jc w:val="left"/>
        <w:rPr>
          <w:rFonts w:ascii="Times New Roman" w:hAnsi="Times New Roman"/>
          <w:spacing w:val="0"/>
          <w:sz w:val="20"/>
        </w:rPr>
      </w:pPr>
      <w:r>
        <w:rPr>
          <w:rFonts w:ascii="Times New Roman" w:hAnsi="Times New Roman"/>
          <w:spacing w:val="0"/>
          <w:sz w:val="20"/>
        </w:rPr>
        <w:t>usin</w:t>
      </w:r>
    </w:p>
    <w:p>
      <w:pPr>
        <w:pStyle w:val="TextBody"/>
        <w:bidi w:val="0"/>
        <w:spacing w:before="0" w:after="0"/>
        <w:jc w:val="left"/>
        <w:rPr>
          <w:rFonts w:ascii="Times New Roman" w:hAnsi="Times New Roman"/>
          <w:spacing w:val="0"/>
          <w:sz w:val="20"/>
        </w:rPr>
      </w:pPr>
      <w:r>
        <w:rPr>
          <w:rFonts w:ascii="Times New Roman" w:hAnsi="Times New Roman"/>
          <w:spacing w:val="0"/>
          <w:sz w:val="20"/>
        </w:rPr>
        <w:t>ess Combination as of December 31, 2024 were $6.0 million. Deferred offering costs of $9.9 million were fully expensed upon Closing of the Business Com</w:t>
      </w:r>
    </w:p>
    <w:p>
      <w:pPr>
        <w:pStyle w:val="TextBody"/>
        <w:bidi w:val="0"/>
        <w:spacing w:before="0" w:after="0"/>
        <w:jc w:val="left"/>
        <w:rPr>
          <w:rFonts w:ascii="Times New Roman" w:hAnsi="Times New Roman"/>
          <w:spacing w:val="0"/>
          <w:sz w:val="20"/>
        </w:rPr>
      </w:pPr>
      <w:r>
        <w:rPr>
          <w:rFonts w:ascii="Times New Roman" w:hAnsi="Times New Roman"/>
          <w:spacing w:val="0"/>
          <w:sz w:val="20"/>
        </w:rPr>
        <w:t>binat</w:t>
      </w:r>
    </w:p>
    <w:p>
      <w:pPr>
        <w:pStyle w:val="TextBody"/>
        <w:bidi w:val="0"/>
        <w:spacing w:before="0" w:after="0"/>
        <w:jc w:val="left"/>
        <w:rPr>
          <w:rFonts w:ascii="Times New Roman" w:hAnsi="Times New Roman"/>
          <w:spacing w:val="0"/>
          <w:sz w:val="20"/>
        </w:rPr>
      </w:pPr>
      <w:r>
        <w:rPr>
          <w:rFonts w:ascii="Times New Roman" w:hAnsi="Times New Roman"/>
          <w:spacing w:val="0"/>
          <w:sz w:val="20"/>
        </w:rPr>
        <w:t>ion within G&amp;A ex</w:t>
      </w:r>
    </w:p>
    <w:p>
      <w:pPr>
        <w:pStyle w:val="TextBody"/>
        <w:bidi w:val="0"/>
        <w:spacing w:before="0" w:after="0"/>
        <w:jc w:val="left"/>
        <w:rPr>
          <w:rFonts w:ascii="Times New Roman" w:hAnsi="Times New Roman"/>
          <w:spacing w:val="0"/>
          <w:sz w:val="20"/>
        </w:rPr>
      </w:pPr>
      <w:r>
        <w:rPr>
          <w:rFonts w:ascii="Times New Roman" w:hAnsi="Times New Roman"/>
          <w:spacing w:val="0"/>
          <w:sz w:val="20"/>
        </w:rPr>
        <w:t>pens</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es on the condensed consolidated statement of operations and comprehensive loss for the three and nine months ended September 30, 2025.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carried at cost less accumulated depreciation. Depreciation of property and equipment is computed using the straight-line method over the estimated useful lives of the assets, which are generally </w:t>
      </w:r>
    </w:p>
    <w:p>
      <w:pPr>
        <w:pStyle w:val="TextBody"/>
        <w:bidi w:val="0"/>
        <w:spacing w:before="120" w:after="0"/>
        <w:jc w:val="left"/>
        <w:rPr>
          <w:rFonts w:ascii="Times New Roman" w:hAnsi="Times New Roman"/>
          <w:sz w:val="20"/>
        </w:rPr>
      </w:pPr>
      <w:r>
        <w:rPr>
          <w:rFonts w:ascii="Times New Roman" w:hAnsi="Times New Roman"/>
          <w:sz w:val="20"/>
        </w:rPr>
        <w:t>five</w:t>
      </w:r>
    </w:p>
    <w:p>
      <w:pPr>
        <w:pStyle w:val="TextBody"/>
        <w:bidi w:val="0"/>
        <w:spacing w:before="120" w:after="0"/>
        <w:jc w:val="left"/>
        <w:rPr>
          <w:rFonts w:ascii="Times New Roman" w:hAnsi="Times New Roman"/>
          <w:sz w:val="20"/>
        </w:rPr>
      </w:pPr>
      <w:r>
        <w:rPr>
          <w:rFonts w:ascii="Times New Roman" w:hAnsi="Times New Roman"/>
          <w:sz w:val="20"/>
        </w:rPr>
        <w:t xml:space="preserve">to seven years. The cost of repairs and maintenance is expensed as incurred. Costs for property and equipment not yet placed into service are capitalized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construction-in-progress</w:t>
      </w:r>
    </w:p>
    <w:p>
      <w:pPr>
        <w:pStyle w:val="TextBody"/>
        <w:bidi w:val="0"/>
        <w:spacing w:before="120" w:after="0"/>
        <w:jc w:val="left"/>
        <w:rPr>
          <w:rFonts w:ascii="Times New Roman" w:hAnsi="Times New Roman"/>
          <w:sz w:val="20"/>
        </w:rPr>
      </w:pPr>
      <w:r>
        <w:rPr>
          <w:rFonts w:ascii="Times New Roman" w:hAnsi="Times New Roman"/>
          <w:sz w:val="20"/>
        </w:rPr>
        <w:t xml:space="preserve">and depreciated once placed into service.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There was no impairment of long-lived assets during the three and nine months ended September 30, 2025 and 2024.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Promissory Notes and Related Party Loan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promissory notes and related party loan in accordance with ASC 470,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w:t>
      </w:r>
    </w:p>
    <w:p>
      <w:pPr>
        <w:pStyle w:val="TextBody"/>
        <w:bidi w:val="0"/>
        <w:spacing w:before="120" w:after="0"/>
        <w:jc w:val="left"/>
        <w:rPr>
          <w:rFonts w:ascii="Times New Roman" w:hAnsi="Times New Roman"/>
          <w:sz w:val="20"/>
        </w:rPr>
      </w:pPr>
      <w:r>
        <w:rPr>
          <w:rFonts w:ascii="Times New Roman" w:hAnsi="Times New Roman"/>
          <w:sz w:val="20"/>
        </w:rPr>
        <w:t xml:space="preserve">, and related guidance. Debt is recognized at the issuance date fair value, net of any debt discounts or issuance costs. Debt is subsequently carried at amortized cost, with any applicable interest expense recognized using the effective interest method over the contractual term. </w:t>
      </w:r>
    </w:p>
    <w:p>
      <w:pPr>
        <w:pStyle w:val="TextBody"/>
        <w:bidi w:val="0"/>
        <w:spacing w:before="240" w:after="0"/>
        <w:jc w:val="left"/>
        <w:rPr>
          <w:rFonts w:ascii="Times New Roman" w:hAnsi="Times New Roman"/>
          <w:sz w:val="20"/>
        </w:rPr>
      </w:pPr>
      <w:r>
        <w:rPr>
          <w:rFonts w:ascii="Times New Roman" w:hAnsi="Times New Roman"/>
          <w:sz w:val="20"/>
        </w:rPr>
        <w:t xml:space="preserve">If the debt is amended or exchanged, the Company evaluates whether the modification is considered a troubled debt restructuring or an extinguishment under ASC </w:t>
      </w:r>
    </w:p>
    <w:p>
      <w:pPr>
        <w:pStyle w:val="TextBody"/>
        <w:bidi w:val="0"/>
        <w:spacing w:before="240" w:after="0"/>
        <w:jc w:val="left"/>
        <w:rPr>
          <w:rFonts w:ascii="Times New Roman" w:hAnsi="Times New Roman"/>
          <w:spacing w:val="0"/>
          <w:sz w:val="20"/>
        </w:rPr>
      </w:pPr>
      <w:r>
        <w:rPr>
          <w:rFonts w:ascii="Times New Roman" w:hAnsi="Times New Roman"/>
          <w:spacing w:val="0"/>
          <w:sz w:val="20"/>
        </w:rPr>
        <w:t>470-50.</w:t>
      </w:r>
    </w:p>
    <w:p>
      <w:pPr>
        <w:pStyle w:val="TextBody"/>
        <w:bidi w:val="0"/>
        <w:spacing w:before="240" w:after="0"/>
        <w:jc w:val="left"/>
        <w:rPr>
          <w:rFonts w:ascii="Times New Roman" w:hAnsi="Times New Roman"/>
          <w:sz w:val="20"/>
        </w:rPr>
      </w:pPr>
      <w:r>
        <w:rPr>
          <w:rFonts w:ascii="Times New Roman" w:hAnsi="Times New Roman"/>
          <w:sz w:val="20"/>
        </w:rPr>
        <w:t xml:space="preserve">When extinguishment accounting applies, the old debt is derecognized and any difference between the reacquisition price and the carrying amount of the extinguished debt is recognized in earnings.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Distinguishing Liabilities from Equity</w:t>
      </w:r>
    </w:p>
    <w:p>
      <w:pPr>
        <w:pStyle w:val="TextBody"/>
        <w:bidi w:val="0"/>
        <w:spacing w:before="120" w:after="0"/>
        <w:jc w:val="left"/>
        <w:rPr>
          <w:rFonts w:ascii="Times New Roman" w:hAnsi="Times New Roman"/>
          <w:sz w:val="20"/>
        </w:rPr>
      </w:pPr>
      <w:r>
        <w:rPr>
          <w:rFonts w:ascii="Times New Roman" w:hAnsi="Times New Roman"/>
          <w:sz w:val="20"/>
        </w:rPr>
        <w:t xml:space="preserve">, and ASC 815,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Derivatives and Hedging</w:t>
      </w:r>
    </w:p>
    <w:p>
      <w:pPr>
        <w:pStyle w:val="TextBody"/>
        <w:bidi w:val="0"/>
        <w:spacing w:before="120" w:after="0"/>
        <w:jc w:val="left"/>
        <w:rPr>
          <w:rFonts w:ascii="Times New Roman" w:hAnsi="Times New Roman"/>
          <w:sz w:val="20"/>
        </w:rPr>
      </w:pPr>
      <w:r>
        <w:rPr>
          <w:rFonts w:ascii="Times New Roman" w:hAnsi="Times New Roman"/>
          <w:sz w:val="20"/>
        </w:rPr>
        <w:t xml:space="preserve">.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paid-in-capital</w:t>
      </w:r>
    </w:p>
    <w:p>
      <w:pPr>
        <w:pStyle w:val="TextBody"/>
        <w:bidi w:val="0"/>
        <w:spacing w:before="120" w:after="0"/>
        <w:jc w:val="left"/>
        <w:rPr>
          <w:rFonts w:ascii="Times New Roman" w:hAnsi="Times New Roman"/>
          <w:sz w:val="20"/>
        </w:rPr>
      </w:pPr>
      <w:r>
        <w:rPr>
          <w:rFonts w:ascii="Times New Roman" w:hAnsi="Times New Roman"/>
          <w:sz w:val="20"/>
        </w:rPr>
        <w:t xml:space="preserve">at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time of issuance. For issued or modified warrants that do not meet all of the criteria for equity classification, the warrants are required to be recorded at their initial fair value on the date of issuance, and each balance sheet date thereafter. As of September 30, 2025 and December 31, 2024, the Company has accounted for the Public and Private Placement Warrants as equity-classified instruments.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expenses the cost of R&amp;D as incurred. R&amp;D expenses are comprised of costs incurred in performing R&amp;D activities, including clinical trial costs, manufacturing costs for clinical materials, and the costs relating to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ASC 730,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Research and Development.</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stock-based compensation in accordance with ASC 718,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 Stock Compensation,</w:t>
      </w:r>
    </w:p>
    <w:p>
      <w:pPr>
        <w:pStyle w:val="TextBody"/>
        <w:bidi w:val="0"/>
        <w:spacing w:before="120" w:after="0"/>
        <w:jc w:val="left"/>
        <w:rPr>
          <w:rFonts w:ascii="Times New Roman" w:hAnsi="Times New Roman"/>
          <w:sz w:val="20"/>
        </w:rPr>
      </w:pPr>
      <w:r>
        <w:rPr>
          <w:rFonts w:ascii="Times New Roman" w:hAnsi="Times New Roman"/>
          <w:sz w:val="20"/>
        </w:rPr>
        <w:t xml:space="preserve">which establishes accounting for equity instruments exchanged for employee and consulting services. 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120" w:after="0"/>
        <w:jc w:val="left"/>
        <w:rPr>
          <w:rFonts w:ascii="Times New Roman" w:hAnsi="Times New Roman"/>
          <w:sz w:val="20"/>
        </w:rPr>
      </w:pPr>
      <w:r>
        <w:rPr>
          <w:rFonts w:ascii="Times New Roman" w:hAnsi="Times New Roman"/>
          <w:sz w:val="20"/>
        </w:rPr>
        <w:t xml:space="preserve">vesting period. The Company accounts for forfeitures as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 Company determines an estimate of option volatility based on an assessment of historical volatilities of comparable companies whose share prices are publicly available. The Company uses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the Company’s statement of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Stock-based compensation for Scilex employees who provide services and support activities related to the Company are allocated and attributed to the Company based on the estimated percentage of their time spent providing services attributable to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ASC 740,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bidi w:val="0"/>
        <w:spacing w:before="120" w:after="0"/>
        <w:jc w:val="left"/>
        <w:rPr>
          <w:rFonts w:ascii="Times New Roman" w:hAnsi="Times New Roman"/>
          <w:sz w:val="20"/>
        </w:rPr>
      </w:pPr>
      <w:r>
        <w:rPr>
          <w:rFonts w:ascii="Times New Roman" w:hAnsi="Times New Roman"/>
          <w:sz w:val="20"/>
        </w:rPr>
        <w:t xml:space="preserve">, address the determination of whether tax benefits claimed or expected to be claimed on a tax return should be recorded in the financial statements. Under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740-10,</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accounts for income taxes using the asset and liability method to compute the differences between the tax basis of assets and liabilities and the related financial amounts, using currently enacted tax rates.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deferred tax assets, which are subject to periodic recoverability assessments. Valuation allowances are established, when necessary, to reduce deferred tax assets to the amount that more likely than not will be realized.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Comprehensive loss is defined as a change in equity of a business enterprise during a period, resulting from transactions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from non-owner</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sources. There are no components of comprehensive loss for the Company. Thus, comprehensive loss is the same as the net loss for the periods presented.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net loss per share is computed by dividing net loss for the period by the weighted average number of shares of common stock outstanding during the period. Diluted net loss per share reflects the additional dilution from potential issuances of common stock, such as stock issuable pursuant to the exercise of stock options and warrants. The treasury stock method is used to calculate the potential dilutive effect of these common stock equivalents. Potentially dilutive shares are excluded from the computation of diluted net loss per share when their effect is anti-dilutive. In periods where a net loss is presented, all potentially dilutive securities are anti-dilutive and are excluded from the computation of diluted net loss per share.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November 2023, the Financial Accounting Standards Board (“FASB”) issued Accounting Standards Update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Improvements to Reportable Segment Disclosures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which is intended to improve reportable segment disclosure requirements, primarily through additional disclosures about significant segment expenses, including for single reportable segment entities.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is effective for fiscal years beginning after December 15, 2023, and interim periods within fiscal years beginning after December 15, 2024, with early adoption permitted.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should be applied retrospectively to all prior periods presented in the financial statements. The Company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for the fiscal year beginning January 1, 2024 and the adoption did not have any impact to the Company’s consolidated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December 2023, the FASB issued Accounting Standards Update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2023-08,</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Intangibles—Goodwill and Other—Crypto Assets (Subtopic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350-60):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and Disclosure of Crypto Assets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which will require cryptocurrency assets to be measured at fair value on the balance sheet and gains and losses from changes in the fair value of cryptocurrency assets to be recognized on the statement of operations and comprehensive loss in each reporting period.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will also require certain interim and annual disclosures with respect to cryptocurrency holdings.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 effective for interim and annual periods beginning after December 15, 2024 with a cumulative-effect adjustment to the opening balance of accumulated deficit as of the beginning of the annual reporting period in which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 adopted. The Company adopted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2023-08</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fiscal year beginning January 1, 2025 and the adoption did not have any impact to the Company’s consolidated financial statements as the Company did not have any cryptocurrency holdings at adoption.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Pronouncements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December 2023, the FASB issued Accounting Standards Update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Taxes—Improvements to Income Tax Disclosures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requiring enhancements and further transparency to certain income tax disclosures, most notably the tax rate reconciliation and income taxes paid.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is effective for fiscal years beginning after December 15, 2024 on a prospective basis and retrospective application is permitted. The Company will adopt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for the fiscal year ending December 31, 2025. Other than the presentation of additional disaggregated data in the income tax footnote disclosures for annual periods, the Company does not expect the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 have a material impact on its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November 2024, the FASB issued Accounting Standards Update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Statement-Reporting Comprehensive Income-Expense Disaggregation Disclosures (Subtopic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Disaggregation of Income Statement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which requires disaggregated information about certain income statement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expense line items on an annual and interim basis.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0" w:after="0"/>
        <w:jc w:val="left"/>
        <w:rPr>
          <w:rFonts w:ascii="Times New Roman" w:hAnsi="Times New Roman"/>
          <w:spacing w:val="0"/>
          <w:sz w:val="20"/>
        </w:rPr>
      </w:pPr>
      <w:r>
        <w:rPr>
          <w:rFonts w:ascii="Times New Roman" w:hAnsi="Times New Roman"/>
          <w:spacing w:val="0"/>
          <w:sz w:val="20"/>
        </w:rPr>
        <w:t>is effective for annual periods beginning after December 15, 2026 and interim reporting periods within annual reporting periods be</w:t>
      </w:r>
    </w:p>
    <w:p>
      <w:pPr>
        <w:pStyle w:val="TextBody"/>
        <w:bidi w:val="0"/>
        <w:spacing w:before="0" w:after="0"/>
        <w:jc w:val="left"/>
        <w:rPr>
          <w:rFonts w:ascii="Times New Roman" w:hAnsi="Times New Roman"/>
          <w:spacing w:val="0"/>
          <w:sz w:val="20"/>
        </w:rPr>
      </w:pPr>
      <w:r>
        <w:rPr>
          <w:rFonts w:ascii="Times New Roman" w:hAnsi="Times New Roman"/>
          <w:spacing w:val="0"/>
          <w:sz w:val="20"/>
        </w:rPr>
        <w:t>ginnin</w:t>
      </w:r>
    </w:p>
    <w:p>
      <w:pPr>
        <w:pStyle w:val="TextBody"/>
        <w:bidi w:val="0"/>
        <w:spacing w:before="0" w:after="0"/>
        <w:jc w:val="left"/>
        <w:rPr>
          <w:rFonts w:ascii="Times New Roman" w:hAnsi="Times New Roman"/>
          <w:spacing w:val="0"/>
          <w:sz w:val="20"/>
        </w:rPr>
      </w:pPr>
      <w:r>
        <w:rPr>
          <w:rFonts w:ascii="Times New Roman" w:hAnsi="Times New Roman"/>
          <w:spacing w:val="0"/>
          <w:sz w:val="20"/>
        </w:rPr>
        <w:t>g after Decem</w:t>
      </w:r>
    </w:p>
    <w:p>
      <w:pPr>
        <w:pStyle w:val="TextBody"/>
        <w:bidi w:val="0"/>
        <w:spacing w:before="0" w:after="0"/>
        <w:jc w:val="left"/>
        <w:rPr>
          <w:rFonts w:ascii="Times New Roman" w:hAnsi="Times New Roman"/>
          <w:spacing w:val="0"/>
          <w:sz w:val="20"/>
        </w:rPr>
      </w:pPr>
      <w:r>
        <w:rPr>
          <w:rFonts w:ascii="Times New Roman" w:hAnsi="Times New Roman"/>
          <w:spacing w:val="0"/>
          <w:sz w:val="20"/>
        </w:rPr>
        <w:t>ber</w:t>
      </w:r>
    </w:p>
    <w:p>
      <w:pPr>
        <w:pStyle w:val="TextBody"/>
        <w:bidi w:val="0"/>
        <w:spacing w:before="0" w:after="0"/>
        <w:jc w:val="left"/>
        <w:rPr>
          <w:spacing w:val="0"/>
        </w:rPr>
      </w:pPr>
      <w:r>
        <w:rPr>
          <w:spacing w:val="0"/>
        </w:rPr>
        <w:t> </w:t>
      </w:r>
      <w:r>
        <w:rPr>
          <w:rFonts w:ascii="Times New Roman" w:hAnsi="Times New Roman"/>
          <w:spacing w:val="0"/>
          <w:sz w:val="20"/>
        </w:rPr>
        <w:t>15, 2027. Early adoption is permitted and can be applied prospectively or retrospectively. The Company is evaluating the impact of the adoption of this standard on the Company’s c</w:t>
      </w:r>
    </w:p>
    <w:p>
      <w:pPr>
        <w:pStyle w:val="TextBody"/>
        <w:bidi w:val="0"/>
        <w:spacing w:before="0" w:after="0"/>
        <w:jc w:val="left"/>
        <w:rPr>
          <w:rFonts w:ascii="Times New Roman" w:hAnsi="Times New Roman"/>
          <w:spacing w:val="0"/>
          <w:sz w:val="20"/>
        </w:rPr>
      </w:pPr>
      <w:r>
        <w:rPr>
          <w:rFonts w:ascii="Times New Roman" w:hAnsi="Times New Roman"/>
          <w:spacing w:val="0"/>
          <w:sz w:val="20"/>
        </w:rPr>
        <w:t>ons</w:t>
      </w:r>
    </w:p>
    <w:p>
      <w:pPr>
        <w:pStyle w:val="TextBody"/>
        <w:bidi w:val="0"/>
        <w:spacing w:before="0" w:after="0"/>
        <w:jc w:val="left"/>
        <w:rPr>
          <w:rFonts w:ascii="Times New Roman" w:hAnsi="Times New Roman"/>
          <w:spacing w:val="0"/>
          <w:sz w:val="20"/>
        </w:rPr>
      </w:pPr>
      <w:r>
        <w:rPr>
          <w:rFonts w:ascii="Times New Roman" w:hAnsi="Times New Roman"/>
          <w:spacing w:val="0"/>
          <w:sz w:val="20"/>
        </w:rPr>
        <w:t>olidated financial st</w:t>
      </w:r>
    </w:p>
    <w:p>
      <w:pPr>
        <w:pStyle w:val="TextBody"/>
        <w:bidi w:val="0"/>
        <w:spacing w:before="0" w:after="0"/>
        <w:jc w:val="left"/>
        <w:rPr>
          <w:rFonts w:ascii="Times New Roman" w:hAnsi="Times New Roman"/>
          <w:spacing w:val="0"/>
          <w:sz w:val="20"/>
        </w:rPr>
      </w:pPr>
      <w:r>
        <w:rPr>
          <w:rFonts w:ascii="Times New Roman" w:hAnsi="Times New Roman"/>
          <w:spacing w:val="0"/>
          <w:sz w:val="20"/>
        </w:rPr>
        <w:t>atem</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ents and related disclosures.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3. Balance Sheet Components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consists of the following (in thousands): </w:t>
      </w:r>
    </w:p>
    <w:p>
      <w:pPr>
        <w:pStyle w:val="TextBody"/>
        <w:bidi w:val="0"/>
        <w:spacing w:before="0" w:after="0"/>
        <w:jc w:val="left"/>
        <w:rPr>
          <w:spacing w:val="0"/>
        </w:rPr>
      </w:pPr>
      <w:r>
        <w:rPr>
          <w:spacing w:val="0"/>
        </w:rPr>
        <w:t> </w:t>
      </w:r>
    </w:p>
    <w:tbl>
      <w:tblPr>
        <w:tblW w:w="6055" w:type="dxa"/>
        <w:jc w:val="left"/>
        <w:tblInd w:w="0" w:type="dxa"/>
        <w:tblLayout w:type="fixed"/>
        <w:tblCellMar>
          <w:top w:w="0" w:type="dxa"/>
          <w:left w:w="0" w:type="dxa"/>
          <w:bottom w:w="0" w:type="dxa"/>
          <w:right w:w="0" w:type="dxa"/>
        </w:tblCellMar>
      </w:tblPr>
      <w:tblGrid>
        <w:gridCol w:w="2600"/>
        <w:gridCol w:w="120"/>
        <w:gridCol w:w="271"/>
        <w:gridCol w:w="1204"/>
        <w:gridCol w:w="155"/>
        <w:gridCol w:w="120"/>
        <w:gridCol w:w="260"/>
        <w:gridCol w:w="1155"/>
        <w:gridCol w:w="170"/>
      </w:tblGrid>
      <w:tr>
        <w:trPr/>
        <w:tc>
          <w:tcPr>
            <w:tcW w:w="26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170" w:type="dxa"/>
            <w:tcBorders/>
            <w:vAlign w:val="center"/>
          </w:tcPr>
          <w:p>
            <w:pPr>
              <w:pStyle w:val="TableContents"/>
              <w:bidi w:val="0"/>
              <w:spacing w:before="0" w:after="0"/>
              <w:jc w:val="left"/>
              <w:rPr>
                <w:spacing w:val="0"/>
              </w:rPr>
            </w:pPr>
            <w:r>
              <w:rPr>
                <w:spacing w:val="0"/>
              </w:rPr>
              <w:t> </w:t>
            </w:r>
          </w:p>
        </w:tc>
      </w:tr>
      <w:tr>
        <w:trPr/>
        <w:tc>
          <w:tcPr>
            <w:tcW w:w="26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Construction-in-progress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1" w:type="dxa"/>
            <w:tcBorders/>
            <w:shd w:fill="CCEEFF" w:val="clear"/>
            <w:vAlign w:val="center"/>
          </w:tcPr>
          <w:p>
            <w:pPr>
              <w:pStyle w:val="TableContents"/>
              <w:bidi w:val="0"/>
              <w:spacing w:before="0" w:after="0"/>
              <w:jc w:val="left"/>
              <w:rPr>
                <w:spacing w:val="0"/>
              </w:rPr>
            </w:pPr>
            <w:r>
              <w:rPr>
                <w:spacing w:val="0"/>
              </w:rPr>
              <w:t>$</w:t>
            </w:r>
          </w:p>
        </w:tc>
        <w:tc>
          <w:tcPr>
            <w:tcW w:w="1204" w:type="dxa"/>
            <w:tcBorders/>
            <w:shd w:fill="CCEEFF" w:val="clear"/>
            <w:vAlign w:val="center"/>
          </w:tcPr>
          <w:p>
            <w:pPr>
              <w:pStyle w:val="TableContents"/>
              <w:bidi w:val="0"/>
              <w:spacing w:before="0" w:after="0"/>
              <w:jc w:val="right"/>
              <w:rPr>
                <w:spacing w:val="0"/>
              </w:rPr>
            </w:pPr>
            <w:r>
              <w:rPr>
                <w:spacing w:val="0"/>
              </w:rPr>
              <w:t>689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60" w:type="dxa"/>
            <w:tcBorders/>
            <w:shd w:fill="CCEEFF" w:val="clear"/>
            <w:vAlign w:val="center"/>
          </w:tcPr>
          <w:p>
            <w:pPr>
              <w:pStyle w:val="TableContents"/>
              <w:bidi w:val="0"/>
              <w:spacing w:before="0" w:after="0"/>
              <w:jc w:val="left"/>
              <w:rPr>
                <w:spacing w:val="0"/>
              </w:rPr>
            </w:pPr>
            <w:r>
              <w:rPr>
                <w:spacing w:val="0"/>
              </w:rPr>
              <w:t>$</w:t>
            </w:r>
          </w:p>
        </w:tc>
        <w:tc>
          <w:tcPr>
            <w:tcW w:w="1155" w:type="dxa"/>
            <w:tcBorders/>
            <w:shd w:fill="CCEEFF" w:val="clear"/>
            <w:vAlign w:val="center"/>
          </w:tcPr>
          <w:p>
            <w:pPr>
              <w:pStyle w:val="TableContents"/>
              <w:bidi w:val="0"/>
              <w:spacing w:before="0" w:after="0"/>
              <w:jc w:val="right"/>
              <w:rPr>
                <w:spacing w:val="0"/>
              </w:rPr>
            </w:pPr>
            <w:r>
              <w:rPr>
                <w:spacing w:val="0"/>
              </w:rPr>
              <w:t>689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w:t>
            </w:r>
          </w:p>
        </w:tc>
        <w:tc>
          <w:tcPr>
            <w:tcW w:w="120"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rPr>
            </w:pPr>
            <w:r>
              <w:rPr>
                <w:spacing w:val="0"/>
              </w:rPr>
              <w:t> </w:t>
            </w:r>
          </w:p>
        </w:tc>
        <w:tc>
          <w:tcPr>
            <w:tcW w:w="1204" w:type="dxa"/>
            <w:tcBorders/>
            <w:vAlign w:val="center"/>
          </w:tcPr>
          <w:p>
            <w:pPr>
              <w:pStyle w:val="TableContents"/>
              <w:bidi w:val="0"/>
              <w:spacing w:before="0" w:after="0"/>
              <w:jc w:val="right"/>
              <w:rPr>
                <w:spacing w:val="0"/>
              </w:rPr>
            </w:pPr>
            <w:r>
              <w:rPr>
                <w:spacing w:val="0"/>
              </w:rPr>
              <w:t>17</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left"/>
              <w:rPr>
                <w:spacing w:val="0"/>
              </w:rPr>
            </w:pPr>
            <w:r>
              <w:rPr>
                <w:spacing w:val="0"/>
              </w:rPr>
              <w:t> </w:t>
            </w:r>
          </w:p>
        </w:tc>
        <w:tc>
          <w:tcPr>
            <w:tcW w:w="1155" w:type="dxa"/>
            <w:tcBorders/>
            <w:vAlign w:val="center"/>
          </w:tcPr>
          <w:p>
            <w:pPr>
              <w:pStyle w:val="TableContents"/>
              <w:bidi w:val="0"/>
              <w:spacing w:before="0" w:after="0"/>
              <w:jc w:val="right"/>
              <w:rPr>
                <w:spacing w:val="0"/>
              </w:rPr>
            </w:pPr>
            <w:r>
              <w:rPr>
                <w:spacing w:val="0"/>
              </w:rPr>
              <w:t>17</w:t>
            </w:r>
          </w:p>
        </w:tc>
        <w:tc>
          <w:tcPr>
            <w:tcW w:w="170" w:type="dxa"/>
            <w:tcBorders/>
            <w:vAlign w:val="center"/>
          </w:tcPr>
          <w:p>
            <w:pPr>
              <w:pStyle w:val="TableContents"/>
              <w:bidi w:val="0"/>
              <w:spacing w:before="0" w:after="0"/>
              <w:jc w:val="left"/>
              <w:rPr>
                <w:spacing w:val="0"/>
              </w:rPr>
            </w:pPr>
            <w:r>
              <w:rPr>
                <w:spacing w:val="0"/>
              </w:rPr>
              <w:t> </w:t>
            </w:r>
          </w:p>
        </w:tc>
      </w:tr>
      <w:tr>
        <w:trPr/>
        <w:tc>
          <w:tcPr>
            <w:tcW w:w="26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Computers and equipment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1" w:type="dxa"/>
            <w:tcBorders/>
            <w:shd w:fill="CCEEFF" w:val="clear"/>
            <w:vAlign w:val="center"/>
          </w:tcPr>
          <w:p>
            <w:pPr>
              <w:pStyle w:val="TableContents"/>
              <w:bidi w:val="0"/>
              <w:spacing w:before="0" w:after="0"/>
              <w:jc w:val="left"/>
              <w:rPr>
                <w:spacing w:val="0"/>
              </w:rPr>
            </w:pPr>
            <w:r>
              <w:rPr>
                <w:spacing w:val="0"/>
              </w:rPr>
              <w:t> </w:t>
            </w:r>
          </w:p>
        </w:tc>
        <w:tc>
          <w:tcPr>
            <w:tcW w:w="1204" w:type="dxa"/>
            <w:tcBorders/>
            <w:shd w:fill="CCEEFF" w:val="clear"/>
            <w:vAlign w:val="center"/>
          </w:tcPr>
          <w:p>
            <w:pPr>
              <w:pStyle w:val="TableContents"/>
              <w:bidi w:val="0"/>
              <w:spacing w:before="0" w:after="0"/>
              <w:jc w:val="right"/>
              <w:rPr>
                <w:spacing w:val="0"/>
              </w:rPr>
            </w:pPr>
            <w:r>
              <w:rPr>
                <w:spacing w:val="0"/>
              </w:rPr>
              <w:t>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60" w:type="dxa"/>
            <w:tcBorders/>
            <w:shd w:fill="CCEEFF" w:val="clear"/>
            <w:vAlign w:val="center"/>
          </w:tcPr>
          <w:p>
            <w:pPr>
              <w:pStyle w:val="TableContents"/>
              <w:bidi w:val="0"/>
              <w:spacing w:before="0" w:after="0"/>
              <w:jc w:val="left"/>
              <w:rPr>
                <w:spacing w:val="0"/>
              </w:rPr>
            </w:pPr>
            <w:r>
              <w:rPr>
                <w:spacing w:val="0"/>
              </w:rPr>
              <w:t> </w:t>
            </w:r>
          </w:p>
        </w:tc>
        <w:tc>
          <w:tcPr>
            <w:tcW w:w="1155" w:type="dxa"/>
            <w:tcBorders/>
            <w:shd w:fill="CCEEFF" w:val="clear"/>
            <w:vAlign w:val="center"/>
          </w:tcPr>
          <w:p>
            <w:pPr>
              <w:pStyle w:val="TableContents"/>
              <w:bidi w:val="0"/>
              <w:spacing w:before="0" w:after="0"/>
              <w:jc w:val="right"/>
              <w:rPr>
                <w:spacing w:val="0"/>
              </w:rPr>
            </w:pPr>
            <w:r>
              <w:rPr>
                <w:spacing w:val="0"/>
              </w:rPr>
              <w:t>8</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gross</w:t>
            </w:r>
          </w:p>
        </w:tc>
        <w:tc>
          <w:tcPr>
            <w:tcW w:w="120"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rPr>
            </w:pPr>
            <w:r>
              <w:rPr>
                <w:spacing w:val="0"/>
              </w:rPr>
              <w:t> </w:t>
            </w:r>
          </w:p>
        </w:tc>
        <w:tc>
          <w:tcPr>
            <w:tcW w:w="1204" w:type="dxa"/>
            <w:tcBorders/>
            <w:vAlign w:val="center"/>
          </w:tcPr>
          <w:p>
            <w:pPr>
              <w:pStyle w:val="TableContents"/>
              <w:bidi w:val="0"/>
              <w:spacing w:before="0" w:after="0"/>
              <w:jc w:val="right"/>
              <w:rPr>
                <w:spacing w:val="0"/>
              </w:rPr>
            </w:pPr>
            <w:r>
              <w:rPr>
                <w:spacing w:val="0"/>
              </w:rPr>
              <w:t>714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left"/>
              <w:rPr>
                <w:spacing w:val="0"/>
              </w:rPr>
            </w:pPr>
            <w:r>
              <w:rPr>
                <w:spacing w:val="0"/>
              </w:rPr>
              <w:t> </w:t>
            </w:r>
          </w:p>
        </w:tc>
        <w:tc>
          <w:tcPr>
            <w:tcW w:w="1155" w:type="dxa"/>
            <w:tcBorders/>
            <w:vAlign w:val="center"/>
          </w:tcPr>
          <w:p>
            <w:pPr>
              <w:pStyle w:val="TableContents"/>
              <w:bidi w:val="0"/>
              <w:spacing w:before="0" w:after="0"/>
              <w:jc w:val="right"/>
              <w:rPr>
                <w:spacing w:val="0"/>
              </w:rPr>
            </w:pPr>
            <w:r>
              <w:rPr>
                <w:spacing w:val="0"/>
              </w:rPr>
              <w:t>714</w:t>
            </w:r>
          </w:p>
        </w:tc>
        <w:tc>
          <w:tcPr>
            <w:tcW w:w="170" w:type="dxa"/>
            <w:tcBorders/>
            <w:vAlign w:val="center"/>
          </w:tcPr>
          <w:p>
            <w:pPr>
              <w:pStyle w:val="TableContents"/>
              <w:bidi w:val="0"/>
              <w:spacing w:before="0" w:after="0"/>
              <w:jc w:val="left"/>
              <w:rPr>
                <w:spacing w:val="0"/>
              </w:rPr>
            </w:pPr>
            <w:r>
              <w:rPr>
                <w:spacing w:val="0"/>
              </w:rPr>
              <w:t> </w:t>
            </w:r>
          </w:p>
        </w:tc>
      </w:tr>
      <w:tr>
        <w:trPr/>
        <w:tc>
          <w:tcPr>
            <w:tcW w:w="26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71" w:type="dxa"/>
            <w:tcBorders/>
            <w:shd w:fill="CCEEFF" w:val="clear"/>
            <w:vAlign w:val="center"/>
          </w:tcPr>
          <w:p>
            <w:pPr>
              <w:pStyle w:val="TableContents"/>
              <w:bidi w:val="0"/>
              <w:spacing w:before="0" w:after="0"/>
              <w:jc w:val="left"/>
              <w:rPr>
                <w:spacing w:val="0"/>
              </w:rPr>
            </w:pPr>
            <w:r>
              <w:rPr>
                <w:spacing w:val="0"/>
              </w:rPr>
              <w:t> </w:t>
            </w:r>
          </w:p>
        </w:tc>
        <w:tc>
          <w:tcPr>
            <w:tcW w:w="1204" w:type="dxa"/>
            <w:tcBorders/>
            <w:shd w:fill="CCEEFF" w:val="clear"/>
            <w:vAlign w:val="center"/>
          </w:tcPr>
          <w:p>
            <w:pPr>
              <w:pStyle w:val="TableContents"/>
              <w:bidi w:val="0"/>
              <w:spacing w:before="0" w:after="0"/>
              <w:jc w:val="right"/>
              <w:rPr>
                <w:spacing w:val="0"/>
              </w:rPr>
            </w:pPr>
            <w:r>
              <w:rPr>
                <w:spacing w:val="0"/>
              </w:rPr>
              <w:t>(25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60" w:type="dxa"/>
            <w:tcBorders/>
            <w:shd w:fill="CCEEFF" w:val="clear"/>
            <w:vAlign w:val="center"/>
          </w:tcPr>
          <w:p>
            <w:pPr>
              <w:pStyle w:val="TableContents"/>
              <w:bidi w:val="0"/>
              <w:spacing w:before="0" w:after="0"/>
              <w:jc w:val="left"/>
              <w:rPr>
                <w:spacing w:val="0"/>
              </w:rPr>
            </w:pPr>
            <w:r>
              <w:rPr>
                <w:spacing w:val="0"/>
              </w:rPr>
              <w:t> </w:t>
            </w:r>
          </w:p>
        </w:tc>
        <w:tc>
          <w:tcPr>
            <w:tcW w:w="1155" w:type="dxa"/>
            <w:tcBorders/>
            <w:shd w:fill="CCEEFF" w:val="clear"/>
            <w:vAlign w:val="center"/>
          </w:tcPr>
          <w:p>
            <w:pPr>
              <w:pStyle w:val="TableContents"/>
              <w:bidi w:val="0"/>
              <w:spacing w:before="0" w:after="0"/>
              <w:jc w:val="right"/>
              <w:rPr>
                <w:spacing w:val="0"/>
              </w:rPr>
            </w:pPr>
            <w:r>
              <w:rPr>
                <w:spacing w:val="0"/>
              </w:rPr>
              <w:t>(25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rPr>
            </w:pPr>
            <w:r>
              <w:rPr>
                <w:spacing w:val="0"/>
              </w:rPr>
              <w:t>$</w:t>
            </w:r>
          </w:p>
        </w:tc>
        <w:tc>
          <w:tcPr>
            <w:tcW w:w="1204" w:type="dxa"/>
            <w:tcBorders/>
            <w:vAlign w:val="center"/>
          </w:tcPr>
          <w:p>
            <w:pPr>
              <w:pStyle w:val="TableContents"/>
              <w:bidi w:val="0"/>
              <w:spacing w:before="0" w:after="0"/>
              <w:jc w:val="right"/>
              <w:rPr>
                <w:spacing w:val="0"/>
              </w:rPr>
            </w:pPr>
            <w:r>
              <w:rPr>
                <w:spacing w:val="0"/>
              </w:rPr>
              <w:t> </w:t>
            </w:r>
            <w:r>
              <w:rPr>
                <w:spacing w:val="0"/>
              </w:rPr>
              <w:t>689</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left"/>
              <w:rPr>
                <w:spacing w:val="0"/>
              </w:rPr>
            </w:pPr>
            <w:r>
              <w:rPr>
                <w:spacing w:val="0"/>
              </w:rPr>
              <w:t>$</w:t>
            </w:r>
          </w:p>
        </w:tc>
        <w:tc>
          <w:tcPr>
            <w:tcW w:w="1155" w:type="dxa"/>
            <w:tcBorders/>
            <w:vAlign w:val="center"/>
          </w:tcPr>
          <w:p>
            <w:pPr>
              <w:pStyle w:val="TableContents"/>
              <w:bidi w:val="0"/>
              <w:spacing w:before="0" w:after="0"/>
              <w:jc w:val="right"/>
              <w:rPr>
                <w:spacing w:val="0"/>
              </w:rPr>
            </w:pPr>
            <w:r>
              <w:rPr>
                <w:spacing w:val="0"/>
              </w:rPr>
              <w:t> </w:t>
            </w:r>
            <w:r>
              <w:rPr>
                <w:spacing w:val="0"/>
              </w:rPr>
              <w:t>689</w:t>
            </w:r>
          </w:p>
        </w:tc>
        <w:tc>
          <w:tcPr>
            <w:tcW w:w="170" w:type="dxa"/>
            <w:tcBorders/>
            <w:vAlign w:val="center"/>
          </w:tcPr>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0"/>
              <w:jc w:val="left"/>
              <w:rPr>
                <w:spacing w:val="0"/>
              </w:rPr>
            </w:pPr>
            <w:r>
              <w:rPr>
                <w:spacing w:val="0"/>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recognized no depreciation expense for three and nine months ended September 30, 2025 and 2024. Costs for long-lived assets not yet placed into service are capitalized 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construction-in-progress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and depreciated once placed into service.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Accrued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consist of the following (in thousands): </w:t>
      </w:r>
    </w:p>
    <w:p>
      <w:pPr>
        <w:pStyle w:val="TextBody"/>
        <w:bidi w:val="0"/>
        <w:spacing w:before="0" w:after="0"/>
        <w:jc w:val="left"/>
        <w:rPr>
          <w:spacing w:val="0"/>
        </w:rPr>
      </w:pPr>
      <w:r>
        <w:rPr>
          <w:spacing w:val="0"/>
        </w:rPr>
        <w:t> </w:t>
      </w:r>
    </w:p>
    <w:tbl>
      <w:tblPr>
        <w:tblW w:w="5985" w:type="dxa"/>
        <w:jc w:val="left"/>
        <w:tblInd w:w="0" w:type="dxa"/>
        <w:tblLayout w:type="fixed"/>
        <w:tblCellMar>
          <w:top w:w="0" w:type="dxa"/>
          <w:left w:w="0" w:type="dxa"/>
          <w:bottom w:w="0" w:type="dxa"/>
          <w:right w:w="0" w:type="dxa"/>
        </w:tblCellMar>
      </w:tblPr>
      <w:tblGrid>
        <w:gridCol w:w="2720"/>
        <w:gridCol w:w="120"/>
        <w:gridCol w:w="219"/>
        <w:gridCol w:w="1256"/>
        <w:gridCol w:w="60"/>
        <w:gridCol w:w="120"/>
        <w:gridCol w:w="309"/>
        <w:gridCol w:w="1106"/>
        <w:gridCol w:w="75"/>
      </w:tblGrid>
      <w:tr>
        <w:trPr/>
        <w:tc>
          <w:tcPr>
            <w:tcW w:w="27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2024</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research &amp; development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9" w:type="dxa"/>
            <w:tcBorders/>
            <w:shd w:fill="CCEEFF" w:val="clear"/>
            <w:vAlign w:val="center"/>
          </w:tcPr>
          <w:p>
            <w:pPr>
              <w:pStyle w:val="TableContents"/>
              <w:bidi w:val="0"/>
              <w:spacing w:before="0" w:after="0"/>
              <w:jc w:val="left"/>
              <w:rPr>
                <w:spacing w:val="0"/>
              </w:rPr>
            </w:pPr>
            <w:r>
              <w:rPr>
                <w:spacing w:val="0"/>
              </w:rPr>
              <w:t>$</w:t>
            </w:r>
          </w:p>
        </w:tc>
        <w:tc>
          <w:tcPr>
            <w:tcW w:w="1256" w:type="dxa"/>
            <w:tcBorders/>
            <w:shd w:fill="CCEEFF" w:val="clear"/>
            <w:vAlign w:val="center"/>
          </w:tcPr>
          <w:p>
            <w:pPr>
              <w:pStyle w:val="TableContents"/>
              <w:bidi w:val="0"/>
              <w:spacing w:before="0" w:after="0"/>
              <w:jc w:val="right"/>
              <w:rPr>
                <w:spacing w:val="0"/>
              </w:rPr>
            </w:pPr>
            <w:r>
              <w:rPr>
                <w:spacing w:val="0"/>
              </w:rPr>
              <w:t>364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9" w:type="dxa"/>
            <w:tcBorders/>
            <w:shd w:fill="CCEEFF" w:val="clear"/>
            <w:vAlign w:val="center"/>
          </w:tcPr>
          <w:p>
            <w:pPr>
              <w:pStyle w:val="TableContents"/>
              <w:bidi w:val="0"/>
              <w:spacing w:before="0" w:after="0"/>
              <w:jc w:val="left"/>
              <w:rPr>
                <w:spacing w:val="0"/>
              </w:rPr>
            </w:pPr>
            <w:r>
              <w:rPr>
                <w:spacing w:val="0"/>
              </w:rPr>
              <w:t>$</w:t>
            </w:r>
          </w:p>
        </w:tc>
        <w:tc>
          <w:tcPr>
            <w:tcW w:w="1106" w:type="dxa"/>
            <w:tcBorders/>
            <w:shd w:fill="CCEEFF" w:val="clear"/>
            <w:vAlign w:val="center"/>
          </w:tcPr>
          <w:p>
            <w:pPr>
              <w:pStyle w:val="TableContents"/>
              <w:bidi w:val="0"/>
              <w:spacing w:before="0" w:after="0"/>
              <w:jc w:val="right"/>
              <w:rPr>
                <w:spacing w:val="0"/>
              </w:rPr>
            </w:pPr>
            <w:r>
              <w:rPr>
                <w:spacing w:val="0"/>
              </w:rPr>
              <w:t>8</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professional fees</w:t>
            </w:r>
          </w:p>
        </w:tc>
        <w:tc>
          <w:tcPr>
            <w:tcW w:w="120" w:type="dxa"/>
            <w:tcBorders/>
            <w:vAlign w:val="center"/>
          </w:tcPr>
          <w:p>
            <w:pPr>
              <w:pStyle w:val="TableContents"/>
              <w:bidi w:val="0"/>
              <w:spacing w:before="0" w:after="0"/>
              <w:jc w:val="left"/>
              <w:rPr>
                <w:spacing w:val="0"/>
              </w:rPr>
            </w:pPr>
            <w:r>
              <w:rPr>
                <w:spacing w:val="0"/>
              </w:rPr>
              <w:t>  </w:t>
            </w:r>
          </w:p>
        </w:tc>
        <w:tc>
          <w:tcPr>
            <w:tcW w:w="21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838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9" w:type="dxa"/>
            <w:tcBorders/>
            <w:vAlign w:val="center"/>
          </w:tcPr>
          <w:p>
            <w:pPr>
              <w:pStyle w:val="TableContents"/>
              <w:bidi w:val="0"/>
              <w:spacing w:before="0" w:after="0"/>
              <w:jc w:val="left"/>
              <w:rPr>
                <w:spacing w:val="0"/>
              </w:rPr>
            </w:pPr>
            <w:r>
              <w:rPr>
                <w:spacing w:val="0"/>
              </w:rPr>
              <w:t> </w:t>
            </w:r>
          </w:p>
        </w:tc>
        <w:tc>
          <w:tcPr>
            <w:tcW w:w="1106" w:type="dxa"/>
            <w:tcBorders/>
            <w:vAlign w:val="center"/>
          </w:tcPr>
          <w:p>
            <w:pPr>
              <w:pStyle w:val="TableContents"/>
              <w:bidi w:val="0"/>
              <w:spacing w:before="0" w:after="0"/>
              <w:jc w:val="right"/>
              <w:rPr>
                <w:spacing w:val="0"/>
              </w:rPr>
            </w:pPr>
            <w:r>
              <w:rPr>
                <w:spacing w:val="0"/>
              </w:rPr>
              <w:t>2</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9" w:type="dxa"/>
            <w:tcBorders/>
            <w:shd w:fill="CCEEFF" w:val="clear"/>
            <w:vAlign w:val="center"/>
          </w:tcPr>
          <w:p>
            <w:pPr>
              <w:pStyle w:val="TableContents"/>
              <w:bidi w:val="0"/>
              <w:spacing w:before="0" w:after="0"/>
              <w:jc w:val="left"/>
              <w:rPr>
                <w:spacing w:val="0"/>
              </w:rPr>
            </w:pPr>
            <w:r>
              <w:rPr>
                <w:spacing w:val="0"/>
              </w:rPr>
              <w:t> </w:t>
            </w:r>
          </w:p>
        </w:tc>
        <w:tc>
          <w:tcPr>
            <w:tcW w:w="1256" w:type="dxa"/>
            <w:tcBorders/>
            <w:shd w:fill="CCEEFF" w:val="clear"/>
            <w:vAlign w:val="center"/>
          </w:tcPr>
          <w:p>
            <w:pPr>
              <w:pStyle w:val="TableContents"/>
              <w:bidi w:val="0"/>
              <w:spacing w:before="0" w:after="0"/>
              <w:jc w:val="right"/>
              <w:rPr>
                <w:spacing w:val="0"/>
              </w:rPr>
            </w:pPr>
            <w:r>
              <w:rPr>
                <w:spacing w:val="0"/>
              </w:rPr>
              <w:t>42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9" w:type="dxa"/>
            <w:tcBorders/>
            <w:shd w:fill="CCEEFF" w:val="clear"/>
            <w:vAlign w:val="center"/>
          </w:tcPr>
          <w:p>
            <w:pPr>
              <w:pStyle w:val="TableContents"/>
              <w:bidi w:val="0"/>
              <w:spacing w:before="0" w:after="0"/>
              <w:jc w:val="left"/>
              <w:rPr>
                <w:spacing w:val="0"/>
              </w:rPr>
            </w:pPr>
            <w:r>
              <w:rPr>
                <w:spacing w:val="0"/>
              </w:rPr>
              <w:t> </w:t>
            </w:r>
          </w:p>
        </w:tc>
        <w:tc>
          <w:tcPr>
            <w:tcW w:w="1106" w:type="dxa"/>
            <w:tcBorders/>
            <w:shd w:fill="CCEEFF" w:val="clear"/>
            <w:vAlign w:val="center"/>
          </w:tcPr>
          <w:p>
            <w:pPr>
              <w:pStyle w:val="TableContents"/>
              <w:bidi w:val="0"/>
              <w:spacing w:before="0" w:after="0"/>
              <w:jc w:val="right"/>
              <w:rPr>
                <w:spacing w:val="0"/>
              </w:rPr>
            </w:pPr>
            <w:r>
              <w:rPr>
                <w:spacing w:val="0"/>
              </w:rPr>
              <w:t>— </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other</w:t>
            </w:r>
          </w:p>
        </w:tc>
        <w:tc>
          <w:tcPr>
            <w:tcW w:w="120" w:type="dxa"/>
            <w:tcBorders/>
            <w:vAlign w:val="center"/>
          </w:tcPr>
          <w:p>
            <w:pPr>
              <w:pStyle w:val="TableContents"/>
              <w:bidi w:val="0"/>
              <w:spacing w:before="0" w:after="0"/>
              <w:jc w:val="left"/>
              <w:rPr>
                <w:spacing w:val="0"/>
              </w:rPr>
            </w:pPr>
            <w:r>
              <w:rPr>
                <w:spacing w:val="0"/>
              </w:rPr>
              <w:t>  </w:t>
            </w:r>
          </w:p>
        </w:tc>
        <w:tc>
          <w:tcPr>
            <w:tcW w:w="219" w:type="dxa"/>
            <w:tcBorders/>
            <w:vAlign w:val="center"/>
          </w:tcPr>
          <w:p>
            <w:pPr>
              <w:pStyle w:val="TableContents"/>
              <w:bidi w:val="0"/>
              <w:spacing w:before="0" w:after="0"/>
              <w:jc w:val="left"/>
              <w:rPr>
                <w:spacing w:val="0"/>
              </w:rPr>
            </w:pPr>
            <w:r>
              <w:rPr>
                <w:spacing w:val="0"/>
              </w:rPr>
              <w:t> </w:t>
            </w:r>
          </w:p>
        </w:tc>
        <w:tc>
          <w:tcPr>
            <w:tcW w:w="1256" w:type="dxa"/>
            <w:tcBorders/>
            <w:vAlign w:val="center"/>
          </w:tcPr>
          <w:p>
            <w:pPr>
              <w:pStyle w:val="TableContents"/>
              <w:bidi w:val="0"/>
              <w:spacing w:before="0" w:after="0"/>
              <w:jc w:val="right"/>
              <w:rPr>
                <w:spacing w:val="0"/>
              </w:rPr>
            </w:pPr>
            <w:r>
              <w:rPr>
                <w:spacing w:val="0"/>
              </w:rPr>
              <w:t>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9" w:type="dxa"/>
            <w:tcBorders/>
            <w:vAlign w:val="center"/>
          </w:tcPr>
          <w:p>
            <w:pPr>
              <w:pStyle w:val="TableContents"/>
              <w:bidi w:val="0"/>
              <w:spacing w:before="0" w:after="0"/>
              <w:jc w:val="left"/>
              <w:rPr>
                <w:spacing w:val="0"/>
              </w:rPr>
            </w:pPr>
            <w:r>
              <w:rPr>
                <w:spacing w:val="0"/>
              </w:rPr>
              <w:t> </w:t>
            </w:r>
          </w:p>
        </w:tc>
        <w:tc>
          <w:tcPr>
            <w:tcW w:w="1106" w:type="dxa"/>
            <w:tcBorders/>
            <w:vAlign w:val="center"/>
          </w:tcPr>
          <w:p>
            <w:pPr>
              <w:pStyle w:val="TableContents"/>
              <w:bidi w:val="0"/>
              <w:spacing w:before="0" w:after="0"/>
              <w:jc w:val="right"/>
              <w:rPr>
                <w:spacing w:val="0"/>
              </w:rPr>
            </w:pPr>
            <w:r>
              <w:rPr>
                <w:spacing w:val="0"/>
              </w:rPr>
              <w:t>25</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accrued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219" w:type="dxa"/>
            <w:tcBorders/>
            <w:shd w:fill="CCEEFF" w:val="clear"/>
            <w:vAlign w:val="center"/>
          </w:tcPr>
          <w:p>
            <w:pPr>
              <w:pStyle w:val="TableContents"/>
              <w:bidi w:val="0"/>
              <w:spacing w:before="0" w:after="0"/>
              <w:jc w:val="left"/>
              <w:rPr>
                <w:spacing w:val="0"/>
              </w:rPr>
            </w:pPr>
            <w:r>
              <w:rPr>
                <w:spacing w:val="0"/>
              </w:rPr>
              <w:t>$</w:t>
            </w:r>
          </w:p>
        </w:tc>
        <w:tc>
          <w:tcPr>
            <w:tcW w:w="1256" w:type="dxa"/>
            <w:tcBorders/>
            <w:shd w:fill="CCEEFF" w:val="clear"/>
            <w:vAlign w:val="center"/>
          </w:tcPr>
          <w:p>
            <w:pPr>
              <w:pStyle w:val="TableContents"/>
              <w:bidi w:val="0"/>
              <w:spacing w:before="0" w:after="0"/>
              <w:jc w:val="right"/>
              <w:rPr>
                <w:spacing w:val="0"/>
              </w:rPr>
            </w:pPr>
            <w:r>
              <w:rPr>
                <w:spacing w:val="0"/>
              </w:rPr>
              <w:t> </w:t>
            </w:r>
            <w:r>
              <w:rPr>
                <w:spacing w:val="0"/>
              </w:rPr>
              <w:t>1,266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9" w:type="dxa"/>
            <w:tcBorders/>
            <w:shd w:fill="CCEEFF" w:val="clear"/>
            <w:vAlign w:val="center"/>
          </w:tcPr>
          <w:p>
            <w:pPr>
              <w:pStyle w:val="TableContents"/>
              <w:bidi w:val="0"/>
              <w:spacing w:before="0" w:after="0"/>
              <w:jc w:val="left"/>
              <w:rPr>
                <w:spacing w:val="0"/>
              </w:rPr>
            </w:pPr>
            <w:r>
              <w:rPr>
                <w:spacing w:val="0"/>
              </w:rPr>
              <w:t>$</w:t>
            </w:r>
          </w:p>
        </w:tc>
        <w:tc>
          <w:tcPr>
            <w:tcW w:w="1106" w:type="dxa"/>
            <w:tcBorders/>
            <w:shd w:fill="CCEEFF" w:val="clear"/>
            <w:vAlign w:val="center"/>
          </w:tcPr>
          <w:p>
            <w:pPr>
              <w:pStyle w:val="TableContents"/>
              <w:bidi w:val="0"/>
              <w:spacing w:before="0" w:after="0"/>
              <w:jc w:val="right"/>
              <w:rPr>
                <w:spacing w:val="0"/>
              </w:rPr>
            </w:pPr>
            <w:r>
              <w:rPr>
                <w:spacing w:val="0"/>
              </w:rPr>
              <w:t> </w:t>
            </w:r>
            <w:r>
              <w:rPr>
                <w:spacing w:val="0"/>
              </w:rPr>
              <w:t>35</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2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4. Commitments and Contingencies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normal course of business, the Company may from time to time be named as a party to various legal claims, actions and complaints, including matters involving employment, intellectual property, effects from the use of therapeutics utilizing its technology, or others. It is impossible to predict with certainty whether any resulting liability would have a material adverse effect on the Company’s financial position, results of operations or cash flows. As of September 30, 2025, the Company was not a party to any material legal proceedings with respect to itself or any of its material properties.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Legacy Semnur Merger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18, 2019, Legacy Semnur was acquired by Scilex pursuant to an Agreement and Plan of Merger with Semnur (as amended, the “Legacy Semnur Merger Agreement”), Sigma Merger Sub, Inc., a wholly owned subsidiary of Scilex (“Sigma Merger Sub”), Fortis Advisors LLC, solely as representative of the holders of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Company’s equity, and for limited purposes, Sorrento Therapeutics, Inc. Pursuant to the Legacy Semnur Merger Agreement, Sigma Merger Sub merged with and into Legacy Semnur, and Legacy Semnur survived as Scilex’s wholly 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Semnur through an intercompany arrangement), comprised of a $40.0 million payment that will be due upon obtaining the first approval of a new drug application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To-date,</w:t>
      </w:r>
    </w:p>
    <w:p>
      <w:pPr>
        <w:pStyle w:val="TextBody"/>
        <w:bidi w:val="0"/>
        <w:spacing w:before="240" w:after="0"/>
        <w:jc w:val="left"/>
        <w:rPr>
          <w:rFonts w:ascii="Times New Roman" w:hAnsi="Times New Roman"/>
          <w:sz w:val="20"/>
        </w:rPr>
      </w:pPr>
      <w:r>
        <w:rPr>
          <w:rFonts w:ascii="Times New Roman" w:hAnsi="Times New Roman"/>
          <w:sz w:val="20"/>
        </w:rPr>
        <w:t xml:space="preserve">none of the foregoing payments have been triggered.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Shah Assignment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6, 2013, Legacy Semnur entered into an Assignment Agreement (the “Shah Assignment Agreement”) with Shah Investor LP (“Shah Investor”). Pursuant to the Shah Assignment Agreement, Shah Investor assigned to Legacy Semnur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patents, know-how and</w:t>
      </w:r>
    </w:p>
    <w:p>
      <w:pPr>
        <w:pStyle w:val="TextBody"/>
        <w:bidi w:val="0"/>
        <w:spacing w:before="120" w:after="0"/>
        <w:jc w:val="left"/>
        <w:rPr>
          <w:rFonts w:ascii="Times New Roman" w:hAnsi="Times New Roman"/>
          <w:sz w:val="20"/>
        </w:rPr>
      </w:pPr>
      <w:r>
        <w:rPr>
          <w:rFonts w:ascii="Times New Roman" w:hAnsi="Times New Roman"/>
          <w:sz w:val="20"/>
        </w:rPr>
        <w:t xml:space="preserve">other intellectual property related to pharmaceutical compositions of corticosteroids.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Agreement. To-date, none</w:t>
      </w:r>
    </w:p>
    <w:p>
      <w:pPr>
        <w:pStyle w:val="TextBody"/>
        <w:bidi w:val="0"/>
        <w:spacing w:before="240" w:after="0"/>
        <w:jc w:val="left"/>
        <w:rPr>
          <w:rFonts w:ascii="Times New Roman" w:hAnsi="Times New Roman"/>
          <w:sz w:val="20"/>
        </w:rPr>
      </w:pPr>
      <w:r>
        <w:rPr>
          <w:rFonts w:ascii="Times New Roman" w:hAnsi="Times New Roman"/>
          <w:sz w:val="20"/>
        </w:rPr>
        <w:t xml:space="preserve">of the foregoing payments have been triggered. </w:t>
      </w:r>
    </w:p>
    <w:p>
      <w:pPr>
        <w:pStyle w:val="TextBody"/>
        <w:bidi w:val="0"/>
        <w:spacing w:before="240" w:after="0"/>
        <w:jc w:val="left"/>
        <w:rPr>
          <w:rFonts w:ascii="Times New Roman" w:hAnsi="Times New Roman"/>
          <w:sz w:val="20"/>
        </w:rPr>
      </w:pPr>
      <w:r>
        <w:rPr>
          <w:rFonts w:ascii="Times New Roman" w:hAnsi="Times New Roman"/>
          <w:sz w:val="20"/>
        </w:rPr>
        <w:t xml:space="preserve">The Shah Assignment Agreement continues in full force and effect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country-by-country</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product-by-product</w:t>
      </w:r>
    </w:p>
    <w:p>
      <w:pPr>
        <w:pStyle w:val="TextBody"/>
        <w:bidi w:val="0"/>
        <w:spacing w:before="240" w:after="0"/>
        <w:jc w:val="left"/>
        <w:rPr>
          <w:rFonts w:ascii="Times New Roman" w:hAnsi="Times New Roman"/>
          <w:sz w:val="20"/>
        </w:rPr>
      </w:pPr>
      <w:r>
        <w:rPr>
          <w:rFonts w:ascii="Times New Roman" w:hAnsi="Times New Roman"/>
          <w:sz w:val="20"/>
        </w:rPr>
        <w:t xml:space="preserve">basis until royalties are no longer due on such product under the agreement. The Shah Assignment Agreement contains customary reciprocal indemnification obligations for Shah Investor and Semnur.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Subsidiary Guarantee to Scilex-Oramed Note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in the principal amount of $101.9 million (the “Scilex-Oramed Note”), which as of September 30, 2025 is due on December 31, 2025. In connection with the Scilex-Oramed SPA, Scilex and each of its subsidiaries, including Legacy Semnur,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Following the execution of the amended and restated security agreement with Oramed on October 8, 2024, and upon completion of the Business Combination, as of September 22, 2025, the Company was no longer a Guarantor under the Subsidiary Guarantee.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5. Promissory Notes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Pursuant to the Business Combination, the Company assumed all liabilities of Denali including its existing promissory notes and its liability for its deferred underwriting costs associated with the IPO. Simultaneously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upon Closing, the agreements for these existing liabilities were terminated and new promissory notes and discharge payment agreements were signed with the holders.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Immediately prior to the Closing, Denali, Sponsor and Legacy Semnur entered a Satisfaction and Discharge of Indebtedness Agreement, pursuant to which the Sponsor received $1.1 million in cash and a promissory note for $0.8 million (the “Sponsor Note”). The Sponsor Note shall be payable in six monthly installments of $134 thousand beginning on October 1, 2025 and ending on March 1,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Immediately prior to the Closing, Denali and FutureTech Capital LLC (“FutureTech”) entered a Satisfaction and Discharge of Indebtedness Agreement, pursuant to which FutureTech received $340 thousand in cash and a promissory note for $1.0 million (the “FutureTech Note”). The FutureTech Note shall be payable in six monthly installments of $170 thousand beginning on October 1, 2025 and ending on March 1,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Closing, Denali, the Denali underwriters and the Company entered Satisfaction and Discharge of Indebtedness Agreements, pursuant to which the Denali underwriters received $350 thousand in cash and promissory notes for a total of $2.7 million (the “Denali Underwriter Notes”). The Denali Underwriter Notes shall be payable in nine monthly installments of $300 thousand beginning on October 1, 2025 and ending on June 1,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September 30, 2025, the Company had total current promissory notes of $4.5 million, all of which are due in less than a year, comprised of the following: </w:t>
      </w:r>
    </w:p>
    <w:p>
      <w:pPr>
        <w:pStyle w:val="TextBody"/>
        <w:bidi w:val="0"/>
        <w:spacing w:before="0" w:after="0"/>
        <w:jc w:val="left"/>
        <w:rPr>
          <w:spacing w:val="0"/>
        </w:rPr>
      </w:pPr>
      <w:r>
        <w:rPr>
          <w:spacing w:val="0"/>
        </w:rPr>
        <w:t> </w:t>
      </w:r>
    </w:p>
    <w:tbl>
      <w:tblPr>
        <w:tblW w:w="7865" w:type="dxa"/>
        <w:jc w:val="left"/>
        <w:tblInd w:w="0" w:type="dxa"/>
        <w:tblLayout w:type="fixed"/>
        <w:tblCellMar>
          <w:top w:w="0" w:type="dxa"/>
          <w:left w:w="0" w:type="dxa"/>
          <w:bottom w:w="0" w:type="dxa"/>
          <w:right w:w="0" w:type="dxa"/>
        </w:tblCellMar>
      </w:tblPr>
      <w:tblGrid>
        <w:gridCol w:w="2090"/>
        <w:gridCol w:w="120"/>
        <w:gridCol w:w="60"/>
        <w:gridCol w:w="2060"/>
        <w:gridCol w:w="60"/>
        <w:gridCol w:w="120"/>
        <w:gridCol w:w="140"/>
        <w:gridCol w:w="800"/>
        <w:gridCol w:w="60"/>
        <w:gridCol w:w="120"/>
        <w:gridCol w:w="140"/>
        <w:gridCol w:w="800"/>
        <w:gridCol w:w="60"/>
        <w:gridCol w:w="120"/>
        <w:gridCol w:w="154"/>
        <w:gridCol w:w="886"/>
        <w:gridCol w:w="7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0" w:type="dxa"/>
            <w:gridSpan w:val="6"/>
            <w:tcBorders/>
            <w:vAlign w:val="center"/>
          </w:tcPr>
          <w:p>
            <w:pPr>
              <w:pStyle w:val="TableContents"/>
              <w:bidi w:val="0"/>
              <w:spacing w:before="0" w:after="0"/>
              <w:jc w:val="center"/>
              <w:rPr>
                <w:b/>
                <w:spacing w:val="0"/>
              </w:rPr>
            </w:pPr>
            <w:r>
              <w:rPr>
                <w:b/>
                <w:spacing w:val="0"/>
              </w:rPr>
              <w:t>New Agreements</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Note</w:t>
            </w:r>
          </w:p>
        </w:tc>
        <w:tc>
          <w:tcPr>
            <w:tcW w:w="120" w:type="dxa"/>
            <w:tcBorders/>
            <w:vAlign w:val="center"/>
          </w:tcPr>
          <w:p>
            <w:pPr>
              <w:pStyle w:val="TableContents"/>
              <w:bidi w:val="0"/>
              <w:spacing w:before="0" w:after="283"/>
              <w:jc w:val="left"/>
              <w:rPr/>
            </w:pPr>
            <w:r>
              <w:rPr/>
              <w:t>  </w:t>
            </w:r>
          </w:p>
        </w:tc>
        <w:tc>
          <w:tcPr>
            <w:tcW w:w="2120" w:type="dxa"/>
            <w:gridSpan w:val="2"/>
            <w:tcBorders/>
            <w:vAlign w:val="center"/>
          </w:tcPr>
          <w:p>
            <w:pPr>
              <w:pStyle w:val="TableContents"/>
              <w:bidi w:val="0"/>
              <w:spacing w:before="0" w:after="0"/>
              <w:jc w:val="center"/>
              <w:rPr>
                <w:b/>
                <w:spacing w:val="0"/>
              </w:rPr>
            </w:pPr>
            <w:r>
              <w:rPr>
                <w:b/>
                <w:spacing w:val="0"/>
              </w:rPr>
              <w:t>Original Issue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Existing</w:t>
              <w:br/>
              <w:t>Balance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Discharge</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Sponsor Note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0"/>
              <w:jc w:val="center"/>
              <w:rPr/>
            </w:pPr>
            <w:r>
              <w:rPr/>
              <w:t>4/11/2023, 7/10/2024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800" w:type="dxa"/>
            <w:tcBorders/>
            <w:shd w:fill="CCEEFF" w:val="clear"/>
            <w:vAlign w:val="center"/>
          </w:tcPr>
          <w:p>
            <w:pPr>
              <w:pStyle w:val="TableContents"/>
              <w:bidi w:val="0"/>
              <w:spacing w:before="0" w:after="0"/>
              <w:jc w:val="right"/>
              <w:rPr/>
            </w:pPr>
            <w:r>
              <w:rPr/>
              <w:t>1,807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800" w:type="dxa"/>
            <w:tcBorders/>
            <w:shd w:fill="CCEEFF" w:val="clear"/>
            <w:vAlign w:val="center"/>
          </w:tcPr>
          <w:p>
            <w:pPr>
              <w:pStyle w:val="TableContents"/>
              <w:bidi w:val="0"/>
              <w:spacing w:before="0" w:after="0"/>
              <w:jc w:val="right"/>
              <w:rPr/>
            </w:pPr>
            <w:r>
              <w:rPr/>
              <w:t>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0"/>
              <w:jc w:val="left"/>
              <w:rPr/>
            </w:pPr>
            <w:r>
              <w:rPr/>
              <w:t>$</w:t>
            </w:r>
          </w:p>
        </w:tc>
        <w:tc>
          <w:tcPr>
            <w:tcW w:w="886" w:type="dxa"/>
            <w:tcBorders/>
            <w:shd w:fill="CCEEFF" w:val="clear"/>
            <w:vAlign w:val="center"/>
          </w:tcPr>
          <w:p>
            <w:pPr>
              <w:pStyle w:val="TableContents"/>
              <w:bidi w:val="0"/>
              <w:spacing w:before="0" w:after="0"/>
              <w:jc w:val="right"/>
              <w:rPr/>
            </w:pPr>
            <w:r>
              <w:rPr/>
              <w:t>1,144</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FutureTech Note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center"/>
              <w:rPr/>
            </w:pPr>
            <w:r>
              <w:rPr/>
              <w:t>7/11/2023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1,363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1,022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0"/>
              <w:jc w:val="right"/>
              <w:rPr/>
            </w:pPr>
            <w:r>
              <w:rPr/>
              <w:t>340</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Denali Underwriter Notes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0"/>
              <w:jc w:val="center"/>
              <w:rPr/>
            </w:pPr>
            <w:r>
              <w:rPr/>
              <w:t>4/6/2022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2,888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2,650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0"/>
              <w:jc w:val="right"/>
              <w:rPr/>
            </w:pPr>
            <w:r>
              <w:rPr/>
              <w:t>350</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promissory notes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800" w:type="dxa"/>
            <w:tcBorders/>
            <w:vAlign w:val="center"/>
          </w:tcPr>
          <w:p>
            <w:pPr>
              <w:pStyle w:val="TableContents"/>
              <w:bidi w:val="0"/>
              <w:spacing w:before="0" w:after="0"/>
              <w:jc w:val="right"/>
              <w:rPr/>
            </w:pPr>
            <w:r>
              <w:rPr/>
              <w:t> </w:t>
            </w:r>
            <w:r>
              <w:rPr/>
              <w:t>6,058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800" w:type="dxa"/>
            <w:tcBorders/>
            <w:vAlign w:val="center"/>
          </w:tcPr>
          <w:p>
            <w:pPr>
              <w:pStyle w:val="TableContents"/>
              <w:bidi w:val="0"/>
              <w:spacing w:before="0" w:after="0"/>
              <w:jc w:val="right"/>
              <w:rPr/>
            </w:pPr>
            <w:r>
              <w:rPr/>
              <w:t> </w:t>
            </w:r>
            <w:r>
              <w:rPr/>
              <w:t>4,478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pPr>
            <w:r>
              <w:rPr/>
              <w:t>$</w:t>
            </w:r>
          </w:p>
        </w:tc>
        <w:tc>
          <w:tcPr>
            <w:tcW w:w="886" w:type="dxa"/>
            <w:tcBorders/>
            <w:vAlign w:val="center"/>
          </w:tcPr>
          <w:p>
            <w:pPr>
              <w:pStyle w:val="TableContents"/>
              <w:bidi w:val="0"/>
              <w:spacing w:before="0" w:after="0"/>
              <w:jc w:val="right"/>
              <w:rPr/>
            </w:pPr>
            <w:r>
              <w:rPr/>
              <w:t> </w:t>
            </w:r>
            <w:r>
              <w:rPr/>
              <w:t>1,834</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Notwithstanding the payment schedules in the Sponsor Note, the FutureTech Note and the Denali Underwriter Notes, the balance due on any notes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14-day</w:t>
      </w:r>
    </w:p>
    <w:p>
      <w:pPr>
        <w:pStyle w:val="TextBody"/>
        <w:bidi w:val="0"/>
        <w:spacing w:before="240" w:after="0"/>
        <w:jc w:val="left"/>
        <w:rPr>
          <w:rFonts w:ascii="Times New Roman" w:hAnsi="Times New Roman"/>
          <w:sz w:val="20"/>
        </w:rPr>
      </w:pPr>
      <w:r>
        <w:rPr>
          <w:rFonts w:ascii="Times New Roman" w:hAnsi="Times New Roman"/>
          <w:sz w:val="20"/>
        </w:rPr>
        <w:t xml:space="preserve">cure period) or certain other actions related to voluntary or involuntary bankruptcy proceedings (as more fully described therein).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6. Capital Structure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September 30, 2025, the Company was authorized to issue 785,000,000 shares, consisting of (i) 740,000,000 shares of Common Stock, and (ii) 45,000,000 shares of preferred stock, par value $0.0001 per share (“Preferred Stock”). Holders of the Common Stock are entitled to dividends if and when declared by the Company’s Board of Directors (the “Board of Directors”). The holder of each share of Common Stock is entitled to one vote. As of September 30, 2025, no dividends were declared.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Common Stock Reserved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September 30, 2025, Common Stock reserved for future issuance includes 8,760,000 Public and Private Placement Warrants, 50,000,000 outstanding stock options (see Note 7), 1,250,000 shares to be issued under the PIPE SPA and 6,250,000 shares to be issued under the Semnur/Biconomy SPA.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September 30, 2025, the Company had 5,423,606 shares of Series A preferred stock (“Series A Preferred Stock”) issued and outstanding. The holders of Series A Preferred Stock have various rights and preferences as follows: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Semnur (“Junior Securities”); and (ii) on parity with each class or series of capital stock of Semnur, created specifically ranking by its terms on parity with the Series A Preferred Stock as to dividend rights and rights on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Semnur (“Parity Security”).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Dividend Rights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Holders of Series A Preferred Stock shall not be entitled to dividends unless Semnur pays dividends to holders of Common Stock and shall be entitled to receive, when, as and if declared by the Board of Directors,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Semnur, whether voluntary or involuntary, before any payment or distribution of Semnur’s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Semnur assuming that such share had been converted into shares of Common Stock in a Deemed Conversion (as defined below). If, in the event of a change of control,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Conversion and Redemption Rights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(the “Certificate of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Designations”) will be determined based on an </w:t>
      </w:r>
    </w:p>
    <w:p>
      <w:pPr>
        <w:pStyle w:val="TextBody"/>
        <w:bidi w:val="0"/>
        <w:spacing w:before="0" w:after="0"/>
        <w:jc w:val="left"/>
        <w:rPr>
          <w:rFonts w:ascii="Times New Roman" w:hAnsi="Times New Roman"/>
          <w:spacing w:val="0"/>
          <w:sz w:val="20"/>
        </w:rPr>
      </w:pPr>
      <w:r>
        <w:rPr>
          <w:rFonts w:ascii="Times New Roman" w:hAnsi="Times New Roman"/>
          <w:spacing w:val="0"/>
          <w:sz w:val="20"/>
        </w:rPr>
        <w:t>as-converted-to-Common</w:t>
      </w:r>
    </w:p>
    <w:p>
      <w:pPr>
        <w:pStyle w:val="TextBody"/>
        <w:bidi w:val="0"/>
        <w:spacing w:before="0" w:after="0"/>
        <w:jc w:val="left"/>
        <w:rPr>
          <w:rFonts w:ascii="Times New Roman" w:hAnsi="Times New Roman"/>
          <w:sz w:val="20"/>
        </w:rPr>
      </w:pPr>
      <w:r>
        <w:rPr>
          <w:rFonts w:ascii="Times New Roman" w:hAnsi="Times New Roman"/>
          <w:sz w:val="20"/>
        </w:rPr>
        <w:t xml:space="preserve">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Voting and Other Preferred Rights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240" w:after="0"/>
        <w:jc w:val="left"/>
        <w:rPr>
          <w:rFonts w:ascii="Times New Roman" w:hAnsi="Times New Roman"/>
          <w:sz w:val="20"/>
        </w:rPr>
      </w:pPr>
      <w:r>
        <w:rPr>
          <w:rFonts w:ascii="Times New Roman" w:hAnsi="Times New Roman"/>
          <w:sz w:val="20"/>
        </w:rPr>
        <w:t xml:space="preserve">of Semnur, or increase the authorized amount of any such other class or series; or (c) amend its certificate of incorporation or the Certificate of Designations in any manner that adversely affects the holders of Series A Preferred Stock.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Consulting Agreements with Stock Remuneration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Consulting Services Agreement with 450W42ND MIMA, LLC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25, 2024, Legacy Semnur entered into a consulting services agreement with 450W42ND MIMA, LLC who agreed to perform certain consulting and advisory services related to Legacy Semnur’s business, financing, and mergers and acquisitions opportunities for a period of 12 months from the date of the agreement, for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July 22, 2025, Legacy Semnur entered into an amendment to the foregoing consulting services agreement, pursuant to which Legacy Semnur instead agreed to issue 3,200,000 shares of Legacy Semnur common stock, subject to the satisfaction of the terms and conditions contained in the consulting services agreement, as amended.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September 2025, the consulting agreement with 450W42ND MIMA, LLC was terminated and no shares are required to be issued.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Consulting Services Agreement with Wise Orient Investments Limited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26, 2024, Legacy Semnur entered into a consulting services agreement with Wise Orient Investments Limited (“Wise Orient”) who agreed to perform certain consulting and advisory services related to Legacy Semnur’s business, financing, and mergers and acquisitions opportunities for a period of 12 months from the date of the agreement, for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July 22, 2025, Legacy Semnur entered into an amendment to the foregoing consulting services agreement, pursuant to which Legacy Semnur agreed to instead issue 3,200,000 shares of Legacy Semnur common stock, subject to the satisfaction of the terms and conditions contained in the consulting services agreement, as amended.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Upon Closing, 4,000,000 shares (i.e., the then-existing 3,200,000 shares of Legacy Semnur common stock multiplied by the Exchange ratio) of Common Stock were issued to Wise Orient and the associated expense was recognized as general and administrative expense on the condensed consolidated statement of operations and comprehensive loss for the three and nine months ended September 30, 2025.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Consulting Services Agreement with JW Investment Management Company Limited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June 12, 2025, Legacy Semnur entered into an advisory services agreement with JW Investment Management Company Limited (“JW”), pursuant to which JW agreed to perform certain consulting and advisory services related to Legacy Semnur’s business, financing, and mergers and acquisitions opportunities for a period of 12 months from the date of the agreement.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exchange for the services provided and subject to the terms and conditions contained in the consulting services agreement, Legacy Semnur agreed to issue JW 10,000,000 shares of Common Stock following the consummation of the Business Combination, as well as a cash financing service fee of 7% of the received investment funds should JW successfully facilitate the signing of a PIPE contract on the Company’s behalf.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July 22, 2025, Legacy Semnur entered into an amendment to the foregoing consulting services agreement, pursuant to which Legacy Semnur agreed to amend the share compensation and instead issue to JW 8,000,000 shares of Legacy Semnur common stock, subject to the satisfaction of the terms and conditions contained in the consulting services agreement, as amended.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Upon Closing, 10,000,000 shares (i.e., the then-existing 8,000,000 shares of Legacy common stock multiplied by the Exchange ratio) of Common Stock were issued to JW and the associated expense was recognized as general and administrative expense on the condensed consolidated statement of operations and comprehensive loss for the three and nine months ended September 30,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September 30, 2025, the PIPE transaction has not closed and therefore the cash financing service fee of 7% is not a current obligation.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Retainer Shares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22, 2025, Legacy Semnur entered into a stock issuance agreement with the law firm named therein pursuant to which the law firm was issued 10,000,000 shares of Legacy Semnur common stock as a retainer for legal services and payment for prior services. Upon Closing, the shares were exchanged for 12,500,000 shares (i.e., the then-existing 10,000,000 shares of Legacy common stock multiplied by the Exchange ratio)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 such shares are held by the law firm as collateral for current and future outstanding legal fees due from the Company. At the option of the law firm, the retainer shares may be sold and the net proceeds may be applied against the outstanding legal fees. The retainer shares not applied against the outstanding legal fees due will be returned to the Company. As of September 30, 2025, it was not probable that any of the retainer shares would be applied against any outstanding legal fees.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Sponsor Support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Concurrently with the execution of the Merger Agreement, the Sponsor and each of the Company’s directors and executive officers entered into a sponsor support agreement with the Company and Semnur (the “Sponsor Support Agreement”), pursuant to which the Sponsor and each of Company’s directors and executive officers has agreed to, among other things: (i) vote in favor of the Parent Shareholder Approval Matters (as defined in the Merger Agreement) and in favor of any proposal in respect of an Extension Amendment (as such terms are defined in the Merger Agreement); (ii) vote against (or otherwise withhold written consent of, as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applicable) any “Business Combination” (as such term is defined in Denali’s organizational documents) or any proposal relating thereto (in each case, other than as contemplated by the Merger Agreement); (iii) vote against (or otherwise withhold written consent of, as applicable) any merger agreement or merger, consolidation, combination, sale of substantial assets, reorganization, recapitalization, dissolution, liquidation or winding up of or by the Company (other than the Merger Agreement and the transactions contemplated thereby); (iv) vote against (or otherwise withhold written consent of, as applicable) any change in the business, management or Board of Directors (other than in connection with the Merger Agreement and the transactions contemplated thereby); and (v) vote against (or otherwise withhold written consent of, as applicable) any proposal, action or agreement that would (a) impede, frustrate, prevent or nullify any provision of the Sponsor Support Agreement or the Merger Agreement or any of the transactions contemplated thereby, (b) result in a breach in any respect of any covenant, representation, warranty or any other obligation or agreement of Denali or Merger Sub under the Merger Agreement, (c) result in any of the conditions set forth in Article VIII of the Merger Agreement not being fulfilled or (d) change in any manner the dividend policy or capitalization of, including the voting rights of any class of capital stock of, the Company. Under the terms of the Sponsor Support Agreement, the Sponsor also agreed to certain standstill provisions with respect to the ordinary shares and other equity securities of the Company held by the Sponsor.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Stockholder Support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Concurrently with the execution of the Merger Agreement, Legacy Semnur, Semnur and Scilex (as the then sole stockholder of Semnur) entered into a company stockholder support agreement (the “Stockholder Support Agreement”), pursuant to which Scilex agreed to, among other things: (i) appear at any meeting of Semnur’s stockholders related to the transactions contemplated by the Merger Agreement, or otherwise cause its shares of Semnur common stock to be counted as present thereat for the purpose of establishing a quorum; (ii) vote (or execute and return an action by written consent), or cause to be voted at any such meeting of Semnur’s stockholders (or validly execute and return and cause such consent to be granted with respect to), all of its shares of Semnur common stock in favor of the Merger Agreement and the Business Combination; (iii) authorize and approve any amendment to Semnur’s certificate of incorporation or bylaws that is deemed necessary or advisable by Semnur for purposes of effecting the Business Combination; and (iv) vote (or execute and return an action by written consent), or cause to be voted at any such meeting of Semnur’s stockholders (or validly execute and return and cause such consent to be granted with respect to), all of its shares of Semnur common stock against any other action that would reasonably be expected to (a) impede, interfere with, frustrate, delay, postpone or adversely affect the Business Combination, (b) result in a breach of any covenant, representation or warranty or other obligation or agreement of Semnur under the Merger Agreement or (c) result in a breach of any covenant, representation or warranty or other obligation or agreement of Scilex contained in the Stockholder Support Agreement.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Scilex Stockholder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Concurrently with the execution of the Merger Agreement, the Company entered into a Stockholder Agreement with Scilex (the “Scilex Stockholder Agreement”). Pursuant to the Scilex Stockholder Agreement, from and after the effective time of the Semnur Business Combination, and for so long as Scilex beneficially owns any preferred stock, among other things, (i) Scilex shall have the right, but not the obligation, to designate each director to be nominated, elected or appointed to the Board of Directors (each, a “Stockholder Designee” and collectively, the “Stockholder Designees”), regardless of (i) whether such Stockholder Designee is to be elected to the Board of Directors at a meeting of stockholders called for the purpose of electing directors (or by consent in lieu of meeting) or appointed by the Board of Directors in order to fill any vacancy created by the departure of any director or increase in the authorized number of members of the Board of Directors, or (ii) the size of the Board of Directors, and the Company will be required to take all actions reasonably necessary, and not otherwise prohibited by applicable law, to cause each Stockholder Designee to be so nominated, elected or appointed to the Board of Directors as more fully described in the Scilex Stockholder Agreement. Scilex shall also have the right to designate a replacement director for any Stockholder Designee that has been removed from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Board of Directors and the right to appoint a representative of Scilex to attend all meetings of the committees of the Board of Directors. The Scilex Stockholder Agreement also provides that the Company will be prohibited from taking certain actions without the consent of Scilex. Such actions include, among other things, amendments to the Certificate of Designations, increases or decreases in the size of the Board of Directors, the incurrence of certain amounts of indebtedness and the payment of dividends on common stock. In addition, the Scilex Stockholder Agreement provides that the Company will be prohibited from taking certain actions without the consent of Oramed (but only until the date on which all payments under the Scilex-Oramed Note and all other obligations under the Scilex-Oramed Note have been paid in full in cash). The actions that require Oramed’s consent include, among other things, (i) amending certain agreements, including the Scilex Stockholder Agreement, the Merger Agreement, the Company’s certificate of incorporation or bylaws, the 2024 Plan (as defined in Note 7), the Stockholder Support Agreement and the Debt Exchange Agreement (as defined in Note 8), in each case that adversely affect the rights of capital stock held by Scilex in the Company (ii) approval of the issuance of capital stock of the Company that would result in Scilex holding less than 55% of the outstanding shares or voting power in the Company, (iii) forming any subsidiary that is not wholly owned and controlled by the Company, (iv) permitting any option grants to Scilex Insiders (as defined therein) pursuant to the 2024 Plan prior to the execution of the Merger Agreement to be exercisable and (v) permitting certain compensation payments to Scilex Insiders (as defined therein).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7.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Business Combination, the Company did not have any employees who were directly employed by the Company nor did it </w:t>
      </w:r>
    </w:p>
    <w:p>
      <w:pPr>
        <w:pStyle w:val="TextBody"/>
        <w:bidi w:val="0"/>
        <w:spacing w:before="120" w:after="0"/>
        <w:jc w:val="left"/>
        <w:rPr>
          <w:rFonts w:ascii="Times New Roman" w:hAnsi="Times New Roman"/>
          <w:sz w:val="20"/>
        </w:rPr>
      </w:pPr>
      <w:r>
        <w:rPr>
          <w:rFonts w:ascii="Times New Roman" w:hAnsi="Times New Roman"/>
          <w:sz w:val="20"/>
        </w:rPr>
        <w:t>have</w:t>
      </w:r>
    </w:p>
    <w:p>
      <w:pPr>
        <w:pStyle w:val="TextBody"/>
        <w:bidi w:val="0"/>
        <w:spacing w:before="120" w:after="0"/>
        <w:jc w:val="left"/>
        <w:rPr>
          <w:rFonts w:ascii="Times New Roman" w:hAnsi="Times New Roman"/>
          <w:sz w:val="20"/>
        </w:rPr>
      </w:pPr>
      <w:r>
        <w:rPr>
          <w:rFonts w:ascii="Times New Roman" w:hAnsi="Times New Roman"/>
          <w:sz w:val="20"/>
        </w:rPr>
        <w:t xml:space="preserve">its own stock-based compensation plans other than the Semnur Pharmaceuticals, Inc. 2024 Stock Option Plan (the “2024 Plan”) as described below. However, certain shared employees of Scilex support the Company and also participate in Scilex’s stock-based compensation plans that provide for the granting of 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non-qualified</w:t>
      </w:r>
    </w:p>
    <w:p>
      <w:pPr>
        <w:pStyle w:val="TextBody"/>
        <w:bidi w:val="0"/>
        <w:spacing w:before="120" w:after="0"/>
        <w:jc w:val="left"/>
        <w:rPr>
          <w:rFonts w:ascii="Times New Roman" w:hAnsi="Times New Roman"/>
          <w:sz w:val="20"/>
        </w:rPr>
      </w:pPr>
      <w:r>
        <w:rPr>
          <w:rFonts w:ascii="Times New Roman" w:hAnsi="Times New Roman"/>
          <w:sz w:val="20"/>
        </w:rPr>
        <w:t xml:space="preserve">stock options (“NSOs”), stock appreciation rights, restricted stock, restricted stock units, and other awards. Such shared employees’ time and efforts are partially spent on activities attributable to the Company and partially spent on activities attributable to Scilex; Scilex did not have any employees whose activities are solely dedicated or solely attributable to the Company during the nine months ended September 30, 2025 and 2024. Total stock-based compensation recognized consists of an allocation of such shared employees’ stock-based compensation expense on the same basis as their salaries and benefits and expense for grants made to Wise Orient and JW (see Note 6 above).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Total stock-based compensation expense recorded in the statements of operations was as follows (in thousands): </w:t>
      </w:r>
    </w:p>
    <w:p>
      <w:pPr>
        <w:pStyle w:val="TextBody"/>
        <w:bidi w:val="0"/>
        <w:spacing w:before="0" w:after="0"/>
        <w:jc w:val="left"/>
        <w:rPr>
          <w:spacing w:val="0"/>
        </w:rPr>
      </w:pPr>
      <w:r>
        <w:rPr>
          <w:spacing w:val="0"/>
        </w:rPr>
        <w:t> </w:t>
      </w:r>
    </w:p>
    <w:tbl>
      <w:tblPr>
        <w:tblW w:w="8022" w:type="dxa"/>
        <w:jc w:val="left"/>
        <w:tblInd w:w="0" w:type="dxa"/>
        <w:tblLayout w:type="fixed"/>
        <w:tblCellMar>
          <w:top w:w="0" w:type="dxa"/>
          <w:left w:w="0" w:type="dxa"/>
          <w:bottom w:w="0" w:type="dxa"/>
          <w:right w:w="0" w:type="dxa"/>
        </w:tblCellMar>
      </w:tblPr>
      <w:tblGrid>
        <w:gridCol w:w="3365"/>
        <w:gridCol w:w="120"/>
        <w:gridCol w:w="188"/>
        <w:gridCol w:w="1078"/>
        <w:gridCol w:w="80"/>
        <w:gridCol w:w="161"/>
        <w:gridCol w:w="188"/>
        <w:gridCol w:w="515"/>
        <w:gridCol w:w="60"/>
        <w:gridCol w:w="120"/>
        <w:gridCol w:w="177"/>
        <w:gridCol w:w="1012"/>
        <w:gridCol w:w="75"/>
        <w:gridCol w:w="151"/>
        <w:gridCol w:w="177"/>
        <w:gridCol w:w="48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b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2" w:type="dxa"/>
            <w:gridSpan w:val="6"/>
            <w:tcBorders/>
            <w:vAlign w:val="center"/>
          </w:tcPr>
          <w:p>
            <w:pPr>
              <w:pStyle w:val="TableContents"/>
              <w:bidi w:val="0"/>
              <w:spacing w:before="0" w:after="0"/>
              <w:jc w:val="center"/>
              <w:rPr>
                <w:b/>
                <w:spacing w:val="0"/>
              </w:rPr>
            </w:pPr>
            <w:r>
              <w:rPr>
                <w:b/>
                <w:spacing w:val="0"/>
              </w:rPr>
              <w:t>Nine Months Ended</w:t>
              <w:br/>
              <w:t>September 30,</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0"/>
              <w:jc w:val="center"/>
              <w:rPr>
                <w:b/>
                <w:spacing w:val="0"/>
              </w:rPr>
            </w:pPr>
            <w:r>
              <w:rPr>
                <w:b/>
                <w:spacing w:val="0"/>
              </w:rPr>
              <w:t>2025</w:t>
            </w:r>
          </w:p>
        </w:tc>
        <w:tc>
          <w:tcPr>
            <w:tcW w:w="8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03"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57"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pPr>
            <w:r>
              <w:rPr/>
              <w:t>$</w:t>
            </w:r>
          </w:p>
        </w:tc>
        <w:tc>
          <w:tcPr>
            <w:tcW w:w="1078" w:type="dxa"/>
            <w:tcBorders/>
            <w:shd w:fill="CCEEFF" w:val="clear"/>
            <w:vAlign w:val="center"/>
          </w:tcPr>
          <w:p>
            <w:pPr>
              <w:pStyle w:val="TableContents"/>
              <w:bidi w:val="0"/>
              <w:spacing w:before="0" w:after="0"/>
              <w:jc w:val="right"/>
              <w:rPr/>
            </w:pPr>
            <w:r>
              <w:rPr/>
              <w:t>29</w:t>
            </w:r>
          </w:p>
        </w:tc>
        <w:tc>
          <w:tcPr>
            <w:tcW w:w="8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pPr>
            <w:r>
              <w:rPr/>
              <w:t>$</w:t>
            </w:r>
          </w:p>
        </w:tc>
        <w:tc>
          <w:tcPr>
            <w:tcW w:w="515" w:type="dxa"/>
            <w:tcBorders/>
            <w:shd w:fill="CCEEFF" w:val="clear"/>
            <w:vAlign w:val="center"/>
          </w:tcPr>
          <w:p>
            <w:pPr>
              <w:pStyle w:val="TableContents"/>
              <w:bidi w:val="0"/>
              <w:spacing w:before="0" w:after="0"/>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0"/>
              <w:jc w:val="left"/>
              <w:rPr/>
            </w:pPr>
            <w:r>
              <w:rPr/>
              <w:t>$</w:t>
            </w:r>
          </w:p>
        </w:tc>
        <w:tc>
          <w:tcPr>
            <w:tcW w:w="1012" w:type="dxa"/>
            <w:tcBorders/>
            <w:shd w:fill="CCEEFF" w:val="clear"/>
            <w:vAlign w:val="center"/>
          </w:tcPr>
          <w:p>
            <w:pPr>
              <w:pStyle w:val="TableContents"/>
              <w:bidi w:val="0"/>
              <w:spacing w:before="0" w:after="0"/>
              <w:jc w:val="right"/>
              <w:rPr/>
            </w:pPr>
            <w:r>
              <w:rPr/>
              <w:t>136</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0"/>
              <w:jc w:val="left"/>
              <w:rPr/>
            </w:pPr>
            <w:r>
              <w:rPr/>
              <w:t>$</w:t>
            </w:r>
          </w:p>
        </w:tc>
        <w:tc>
          <w:tcPr>
            <w:tcW w:w="480" w:type="dxa"/>
            <w:tcBorders/>
            <w:shd w:fill="CCEEFF" w:val="clear"/>
            <w:vAlign w:val="center"/>
          </w:tcPr>
          <w:p>
            <w:pPr>
              <w:pStyle w:val="TableContents"/>
              <w:bidi w:val="0"/>
              <w:spacing w:before="0" w:after="0"/>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0"/>
              <w:jc w:val="right"/>
              <w:rPr/>
            </w:pPr>
            <w:r>
              <w:rPr/>
              <w:t>140,163</w:t>
            </w:r>
          </w:p>
        </w:tc>
        <w:tc>
          <w:tcPr>
            <w:tcW w:w="8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right"/>
              <w:rPr/>
            </w:pPr>
            <w:r>
              <w:rPr/>
              <w:t>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0"/>
              <w:jc w:val="right"/>
              <w:rPr/>
            </w:pPr>
            <w:r>
              <w:rPr/>
              <w:t>140,267</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0"/>
              <w:jc w:val="right"/>
              <w:rPr/>
            </w:pPr>
            <w:r>
              <w:rPr/>
              <w:t>421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 expense</w:t>
            </w:r>
          </w:p>
        </w:tc>
        <w:tc>
          <w:tcPr>
            <w:tcW w:w="12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pPr>
            <w:r>
              <w:rPr/>
              <w:t>$</w:t>
            </w:r>
          </w:p>
        </w:tc>
        <w:tc>
          <w:tcPr>
            <w:tcW w:w="1078" w:type="dxa"/>
            <w:tcBorders/>
            <w:shd w:fill="CCEEFF" w:val="clear"/>
            <w:vAlign w:val="center"/>
          </w:tcPr>
          <w:p>
            <w:pPr>
              <w:pStyle w:val="TableContents"/>
              <w:bidi w:val="0"/>
              <w:spacing w:before="0" w:after="0"/>
              <w:jc w:val="right"/>
              <w:rPr/>
            </w:pPr>
            <w:r>
              <w:rPr/>
              <w:t>140,192</w:t>
            </w:r>
          </w:p>
        </w:tc>
        <w:tc>
          <w:tcPr>
            <w:tcW w:w="8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0"/>
              <w:jc w:val="left"/>
              <w:rPr/>
            </w:pPr>
            <w:r>
              <w:rPr/>
              <w:t>$</w:t>
            </w:r>
          </w:p>
        </w:tc>
        <w:tc>
          <w:tcPr>
            <w:tcW w:w="515" w:type="dxa"/>
            <w:tcBorders/>
            <w:shd w:fill="CCEEFF" w:val="clear"/>
            <w:vAlign w:val="center"/>
          </w:tcPr>
          <w:p>
            <w:pPr>
              <w:pStyle w:val="TableContents"/>
              <w:bidi w:val="0"/>
              <w:spacing w:before="0" w:after="0"/>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0"/>
              <w:jc w:val="left"/>
              <w:rPr/>
            </w:pPr>
            <w:r>
              <w:rPr/>
              <w:t>$</w:t>
            </w:r>
          </w:p>
        </w:tc>
        <w:tc>
          <w:tcPr>
            <w:tcW w:w="1012" w:type="dxa"/>
            <w:tcBorders/>
            <w:shd w:fill="CCEEFF" w:val="clear"/>
            <w:vAlign w:val="center"/>
          </w:tcPr>
          <w:p>
            <w:pPr>
              <w:pStyle w:val="TableContents"/>
              <w:bidi w:val="0"/>
              <w:spacing w:before="0" w:after="0"/>
              <w:jc w:val="right"/>
              <w:rPr/>
            </w:pPr>
            <w:r>
              <w:rPr/>
              <w:t>140,403</w:t>
            </w:r>
          </w:p>
        </w:tc>
        <w:tc>
          <w:tcPr>
            <w:tcW w:w="7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0"/>
              <w:jc w:val="left"/>
              <w:rPr/>
            </w:pPr>
            <w:r>
              <w:rPr/>
              <w:t>$</w:t>
            </w:r>
          </w:p>
        </w:tc>
        <w:tc>
          <w:tcPr>
            <w:tcW w:w="480" w:type="dxa"/>
            <w:tcBorders/>
            <w:shd w:fill="CCEEFF" w:val="clear"/>
            <w:vAlign w:val="center"/>
          </w:tcPr>
          <w:p>
            <w:pPr>
              <w:pStyle w:val="TableContents"/>
              <w:bidi w:val="0"/>
              <w:spacing w:before="0" w:after="0"/>
              <w:jc w:val="right"/>
              <w:rPr/>
            </w:pPr>
            <w:r>
              <w:rPr/>
              <w:t>523</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2024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30, 2024, the Board of Directors adopted the 2024 Plan, under which 40,000,000 shares of Common Stock were reserved for future issuance. On the same day, NSOs to purchase an aggregate of 40,000,000 shares of the Legacy Semnur common stock were granted to members of the Company’s executive team and certain Scilex employees who provide services to Semnur. The NSOs granted have an exercise price of $1.58 per share, a term of 10 years (unless earlier terminated in accordance with the terms of the option agreement) and vest 1/48th on a monthly basis over a period of four years from the vesting commencement date as set forth in the applicable option agreement (subject to the holder’s continuous service with the Company).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Upon closing, the NSO’s were exchanged for 50,000,000 NSOs (i.e., the then-existing NSOs multiplied by the Exchange ratio) in Common Stock and the exercise price was adjusted to $1.26 per share (i.e., the then-existing exercise price divided by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The NSOs are not exercisable until all payments and all obligations under the Scilex-Oramed Note have been paid in full). These NSOs are not considered to be granted under accounting rules as repayment of the Scilex-Oramed Note has not occurred. As such, once the NSOs are considered granted, the total amount of stock-based compensation expense attributable to these NSOs would be determined based on their accounting grant-date fair value and to be recognized,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tranche-by-tranche</w:t>
      </w:r>
    </w:p>
    <w:p>
      <w:pPr>
        <w:pStyle w:val="TextBody"/>
        <w:bidi w:val="0"/>
        <w:spacing w:before="240" w:after="0"/>
        <w:jc w:val="left"/>
        <w:rPr>
          <w:rFonts w:ascii="Times New Roman" w:hAnsi="Times New Roman"/>
          <w:sz w:val="20"/>
        </w:rPr>
      </w:pPr>
      <w:r>
        <w:rPr>
          <w:rFonts w:ascii="Times New Roman" w:hAnsi="Times New Roman"/>
          <w:sz w:val="20"/>
        </w:rPr>
        <w:t>basis, over forty-eight equal monthly tranches. No expense was recorded in connection with the NSOs granted under the 2024 Plan as of September 30, 2025, as the vesting is contingent upon the repayment of the Scilex-Oramed Note.</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September 30, 2025, the 50,000,000 NSO’s have an intrinsic value of $886.8 million and a remaining contractual term of 8.9 years.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Note 8. Related Parties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Transactions entered into between the Company and Scilex are considered related party transactions. These transactions have been reflected as related party loans, a long-term liability, on the condensed consolidated balance sheets. These amounts do not carry interest, and are not expected to be settled through transfer of cash or other assets by the Company.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total loans received from Scilex were as follows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706"/>
        <w:gridCol w:w="120"/>
        <w:gridCol w:w="195"/>
        <w:gridCol w:w="783"/>
        <w:gridCol w:w="83"/>
        <w:gridCol w:w="167"/>
        <w:gridCol w:w="195"/>
        <w:gridCol w:w="787"/>
        <w:gridCol w:w="60"/>
        <w:gridCol w:w="120"/>
        <w:gridCol w:w="157"/>
        <w:gridCol w:w="766"/>
        <w:gridCol w:w="67"/>
        <w:gridCol w:w="134"/>
        <w:gridCol w:w="157"/>
        <w:gridCol w:w="630"/>
        <w:gridCol w:w="78"/>
      </w:tblGrid>
      <w:tr>
        <w:trPr/>
        <w:tc>
          <w:tcPr>
            <w:tcW w:w="5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57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br/>
              <w:t>September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1" w:type="dxa"/>
            <w:gridSpan w:val="6"/>
            <w:tcBorders/>
            <w:vAlign w:val="center"/>
          </w:tcPr>
          <w:p>
            <w:pPr>
              <w:pStyle w:val="TableContents"/>
              <w:bidi w:val="0"/>
              <w:spacing w:before="0" w:after="0"/>
              <w:jc w:val="center"/>
              <w:rPr>
                <w:b/>
                <w:spacing w:val="0"/>
              </w:rPr>
            </w:pPr>
            <w:r>
              <w:rPr>
                <w:b/>
                <w:spacing w:val="0"/>
              </w:rPr>
              <w:t>Nine Months Ended</w:t>
              <w:br/>
              <w:t>September 30,</w:t>
            </w:r>
          </w:p>
        </w:tc>
        <w:tc>
          <w:tcPr>
            <w:tcW w:w="78" w:type="dxa"/>
            <w:tcBorders/>
            <w:vAlign w:val="center"/>
          </w:tcPr>
          <w:p>
            <w:pPr>
              <w:pStyle w:val="TableContents"/>
              <w:bidi w:val="0"/>
              <w:spacing w:before="0" w:after="283"/>
              <w:jc w:val="left"/>
              <w:rPr/>
            </w:pPr>
            <w:r>
              <w:rPr/>
              <w:t> </w:t>
            </w:r>
          </w:p>
        </w:tc>
      </w:tr>
      <w:tr>
        <w:trPr/>
        <w:tc>
          <w:tcPr>
            <w:tcW w:w="57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8" w:type="dxa"/>
            <w:gridSpan w:val="2"/>
            <w:tcBorders/>
            <w:vAlign w:val="center"/>
          </w:tcPr>
          <w:p>
            <w:pPr>
              <w:pStyle w:val="TableContents"/>
              <w:bidi w:val="0"/>
              <w:spacing w:before="0" w:after="0"/>
              <w:jc w:val="center"/>
              <w:rPr>
                <w:b/>
                <w:spacing w:val="0"/>
              </w:rPr>
            </w:pPr>
            <w:r>
              <w:rPr>
                <w:b/>
                <w:spacing w:val="0"/>
              </w:rPr>
              <w:t>2025</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0"/>
              <w:jc w:val="center"/>
              <w:rPr>
                <w:b/>
                <w:spacing w:val="0"/>
              </w:rPr>
            </w:pPr>
            <w:r>
              <w:rPr>
                <w:b/>
                <w:spacing w:val="0"/>
              </w:rPr>
              <w:t>2025</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7" w:type="dxa"/>
            <w:gridSpan w:val="2"/>
            <w:tcBorders/>
            <w:vAlign w:val="center"/>
          </w:tcPr>
          <w:p>
            <w:pPr>
              <w:pStyle w:val="TableContents"/>
              <w:bidi w:val="0"/>
              <w:spacing w:before="0" w:after="0"/>
              <w:jc w:val="center"/>
              <w:rPr>
                <w:b/>
                <w:spacing w:val="0"/>
              </w:rPr>
            </w:pPr>
            <w:r>
              <w:rPr>
                <w:b/>
                <w:spacing w:val="0"/>
              </w:rPr>
              <w:t>2024</w:t>
            </w:r>
          </w:p>
        </w:tc>
        <w:tc>
          <w:tcPr>
            <w:tcW w:w="78" w:type="dxa"/>
            <w:tcBorders/>
            <w:vAlign w:val="center"/>
          </w:tcPr>
          <w:p>
            <w:pPr>
              <w:pStyle w:val="TableContents"/>
              <w:bidi w:val="0"/>
              <w:spacing w:before="0" w:after="283"/>
              <w:jc w:val="left"/>
              <w:rPr/>
            </w:pPr>
            <w:r>
              <w:rPr/>
              <w:t> </w:t>
            </w:r>
          </w:p>
        </w:tc>
      </w:tr>
      <w:tr>
        <w:trPr/>
        <w:tc>
          <w:tcPr>
            <w:tcW w:w="5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from Scilex Holding Company — stock-based compensation</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783" w:type="dxa"/>
            <w:tcBorders/>
            <w:shd w:fill="CCEEFF" w:val="clear"/>
            <w:vAlign w:val="center"/>
          </w:tcPr>
          <w:p>
            <w:pPr>
              <w:pStyle w:val="TableContents"/>
              <w:bidi w:val="0"/>
              <w:spacing w:before="0" w:after="0"/>
              <w:jc w:val="right"/>
              <w:rPr/>
            </w:pPr>
            <w:r>
              <w:rPr/>
              <w:t>192</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787" w:type="dxa"/>
            <w:tcBorders/>
            <w:shd w:fill="CCEEFF" w:val="clear"/>
            <w:vAlign w:val="center"/>
          </w:tcPr>
          <w:p>
            <w:pPr>
              <w:pStyle w:val="TableContents"/>
              <w:bidi w:val="0"/>
              <w:spacing w:before="0" w:after="0"/>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0"/>
              <w:jc w:val="left"/>
              <w:rPr/>
            </w:pPr>
            <w:r>
              <w:rPr/>
              <w:t>$</w:t>
            </w:r>
          </w:p>
        </w:tc>
        <w:tc>
          <w:tcPr>
            <w:tcW w:w="766" w:type="dxa"/>
            <w:tcBorders/>
            <w:shd w:fill="CCEEFF" w:val="clear"/>
            <w:vAlign w:val="center"/>
          </w:tcPr>
          <w:p>
            <w:pPr>
              <w:pStyle w:val="TableContents"/>
              <w:bidi w:val="0"/>
              <w:spacing w:before="0" w:after="0"/>
              <w:jc w:val="right"/>
              <w:rPr/>
            </w:pPr>
            <w:r>
              <w:rPr/>
              <w:t>403</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0"/>
              <w:jc w:val="left"/>
              <w:rPr/>
            </w:pPr>
            <w:r>
              <w:rPr/>
              <w:t>$</w:t>
            </w:r>
          </w:p>
        </w:tc>
        <w:tc>
          <w:tcPr>
            <w:tcW w:w="630" w:type="dxa"/>
            <w:tcBorders/>
            <w:shd w:fill="CCEEFF" w:val="clear"/>
            <w:vAlign w:val="center"/>
          </w:tcPr>
          <w:p>
            <w:pPr>
              <w:pStyle w:val="TableContents"/>
              <w:bidi w:val="0"/>
              <w:spacing w:before="0" w:after="0"/>
              <w:jc w:val="right"/>
              <w:rPr/>
            </w:pPr>
            <w:r>
              <w:rPr/>
              <w:t>523</w:t>
            </w:r>
          </w:p>
        </w:tc>
        <w:tc>
          <w:tcPr>
            <w:tcW w:w="78" w:type="dxa"/>
            <w:tcBorders/>
            <w:shd w:fill="CCEEFF" w:val="clear"/>
            <w:vAlign w:val="center"/>
          </w:tcPr>
          <w:p>
            <w:pPr>
              <w:pStyle w:val="TableContents"/>
              <w:bidi w:val="0"/>
              <w:spacing w:before="0" w:after="283"/>
              <w:jc w:val="left"/>
              <w:rPr/>
            </w:pPr>
            <w:r>
              <w:rPr/>
              <w:t> </w:t>
            </w:r>
          </w:p>
        </w:tc>
      </w:tr>
      <w:tr>
        <w:trPr/>
        <w:tc>
          <w:tcPr>
            <w:tcW w:w="5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Loans from Scilex Holding Company — expenses paid by Scilex Holding Company on behalf of the Company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0"/>
              <w:jc w:val="right"/>
              <w:rPr/>
            </w:pPr>
            <w:r>
              <w:rPr/>
              <w:t>7,383</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0"/>
              <w:jc w:val="right"/>
              <w:rPr/>
            </w:pPr>
            <w:r>
              <w:rPr/>
              <w:t>3,996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0"/>
              <w:jc w:val="right"/>
              <w:rPr/>
            </w:pPr>
            <w:r>
              <w:rPr/>
              <w:t>9,911</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0"/>
              <w:jc w:val="right"/>
              <w:rPr/>
            </w:pPr>
            <w:r>
              <w:rPr/>
              <w:t>7,059</w:t>
            </w:r>
          </w:p>
        </w:tc>
        <w:tc>
          <w:tcPr>
            <w:tcW w:w="78" w:type="dxa"/>
            <w:tcBorders/>
            <w:vAlign w:val="center"/>
          </w:tcPr>
          <w:p>
            <w:pPr>
              <w:pStyle w:val="TableContents"/>
              <w:bidi w:val="0"/>
              <w:spacing w:before="0" w:after="283"/>
              <w:jc w:val="left"/>
              <w:rPr/>
            </w:pPr>
            <w:r>
              <w:rPr/>
              <w:t> </w:t>
            </w:r>
          </w:p>
        </w:tc>
      </w:tr>
      <w:tr>
        <w:trPr/>
        <w:tc>
          <w:tcPr>
            <w:tcW w:w="5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5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loans from Scilex Holding Company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783" w:type="dxa"/>
            <w:tcBorders/>
            <w:shd w:fill="CCEEFF" w:val="clear"/>
            <w:vAlign w:val="center"/>
          </w:tcPr>
          <w:p>
            <w:pPr>
              <w:pStyle w:val="TableContents"/>
              <w:bidi w:val="0"/>
              <w:spacing w:before="0" w:after="0"/>
              <w:jc w:val="right"/>
              <w:rPr/>
            </w:pPr>
            <w:r>
              <w:rPr/>
              <w:t>7,575</w:t>
            </w:r>
          </w:p>
        </w:tc>
        <w:tc>
          <w:tcPr>
            <w:tcW w:w="8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0"/>
              <w:jc w:val="left"/>
              <w:rPr/>
            </w:pPr>
            <w:r>
              <w:rPr/>
              <w:t>$</w:t>
            </w:r>
          </w:p>
        </w:tc>
        <w:tc>
          <w:tcPr>
            <w:tcW w:w="787" w:type="dxa"/>
            <w:tcBorders/>
            <w:shd w:fill="CCEEFF" w:val="clear"/>
            <w:vAlign w:val="center"/>
          </w:tcPr>
          <w:p>
            <w:pPr>
              <w:pStyle w:val="TableContents"/>
              <w:bidi w:val="0"/>
              <w:spacing w:before="0" w:after="0"/>
              <w:jc w:val="right"/>
              <w:rPr/>
            </w:pPr>
            <w:r>
              <w:rPr/>
              <w:t>4,148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0"/>
              <w:jc w:val="left"/>
              <w:rPr/>
            </w:pPr>
            <w:r>
              <w:rPr/>
              <w:t>$</w:t>
            </w:r>
          </w:p>
        </w:tc>
        <w:tc>
          <w:tcPr>
            <w:tcW w:w="766" w:type="dxa"/>
            <w:tcBorders/>
            <w:shd w:fill="CCEEFF" w:val="clear"/>
            <w:vAlign w:val="center"/>
          </w:tcPr>
          <w:p>
            <w:pPr>
              <w:pStyle w:val="TableContents"/>
              <w:bidi w:val="0"/>
              <w:spacing w:before="0" w:after="0"/>
              <w:jc w:val="right"/>
              <w:rPr/>
            </w:pPr>
            <w:r>
              <w:rPr/>
              <w:t>10,314</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0"/>
              <w:jc w:val="left"/>
              <w:rPr/>
            </w:pPr>
            <w:r>
              <w:rPr/>
              <w:t>$</w:t>
            </w:r>
          </w:p>
        </w:tc>
        <w:tc>
          <w:tcPr>
            <w:tcW w:w="630" w:type="dxa"/>
            <w:tcBorders/>
            <w:shd w:fill="CCEEFF" w:val="clear"/>
            <w:vAlign w:val="center"/>
          </w:tcPr>
          <w:p>
            <w:pPr>
              <w:pStyle w:val="TableContents"/>
              <w:bidi w:val="0"/>
              <w:spacing w:before="0" w:after="0"/>
              <w:jc w:val="right"/>
              <w:rPr/>
            </w:pPr>
            <w:r>
              <w:rPr/>
              <w:t>7,582</w:t>
            </w:r>
          </w:p>
        </w:tc>
        <w:tc>
          <w:tcPr>
            <w:tcW w:w="78" w:type="dxa"/>
            <w:tcBorders/>
            <w:shd w:fill="CCEEFF" w:val="clear"/>
            <w:vAlign w:val="center"/>
          </w:tcPr>
          <w:p>
            <w:pPr>
              <w:pStyle w:val="TableContents"/>
              <w:bidi w:val="0"/>
              <w:spacing w:before="0" w:after="283"/>
              <w:jc w:val="left"/>
              <w:rPr/>
            </w:pPr>
            <w:r>
              <w:rPr/>
              <w:t> </w:t>
            </w:r>
          </w:p>
        </w:tc>
      </w:tr>
      <w:tr>
        <w:trPr/>
        <w:tc>
          <w:tcPr>
            <w:tcW w:w="5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Debt Exchange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August 30, 2024, the Company and Scilex entered into the Contribution and Satisfaction of Indebtedness Agreement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(the “Outstanding Indebtedness”).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Closing, the Outstanding Indebtedness between the Company and Scilex totaling $54.2 million was converted into 5,423,606 shares of Series A Preferred Stock and 542,361 shares of Common Stock. The Outstanding Indebtedness is considered to be extinguished in its entirety and shall be of no further force or effect and shall be deemed paid and satisfied in full and irrevocably and automatically discharged, terminated and released.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Transition Services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September 22, 2025, in connection with the Closing, the Company entered into the Transition Services Agreement (the “Transition Services Agreement”) with Scilex, pursuant to which the Company can utilize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certain employees and other service providers of Scilex to operate the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 million per annum until all payments under the Scilex-Oramed Note have been paid in full in cash, and the Company will reimburse Scilex for its out of pocket fees, costs or expenses. During the transition period, the Company plans to engage and increase full time employees to support research and development, general administrative, manufacturing, regulatory and commercial functions as the Company enters the final stage of development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pre-launch</w:t>
      </w:r>
    </w:p>
    <w:p>
      <w:pPr>
        <w:pStyle w:val="TextBody"/>
        <w:bidi w:val="0"/>
        <w:spacing w:before="0" w:after="0"/>
        <w:jc w:val="left"/>
        <w:rPr>
          <w:rFonts w:ascii="Times New Roman" w:hAnsi="Times New Roman"/>
          <w:sz w:val="20"/>
        </w:rPr>
      </w:pPr>
      <w:r>
        <w:rPr>
          <w:rFonts w:ascii="Times New Roman" w:hAnsi="Times New Roman"/>
          <w:sz w:val="20"/>
        </w:rPr>
        <w:t>commercialization planning. The term of the Transition Services Agreement is three years following the execution of such agreement, which the Company believes is sufficient t</w:t>
      </w:r>
    </w:p>
    <w:p>
      <w:pPr>
        <w:pStyle w:val="TextBody"/>
        <w:bidi w:val="0"/>
        <w:spacing w:before="0" w:after="0"/>
        <w:jc w:val="left"/>
        <w:rPr>
          <w:rFonts w:ascii="Times New Roman" w:hAnsi="Times New Roman"/>
          <w:sz w:val="20"/>
        </w:rPr>
      </w:pPr>
      <w:r>
        <w:rPr>
          <w:rFonts w:ascii="Times New Roman" w:hAnsi="Times New Roman"/>
          <w:sz w:val="20"/>
        </w:rPr>
        <w:t>im</w:t>
      </w:r>
    </w:p>
    <w:p>
      <w:pPr>
        <w:pStyle w:val="TextBody"/>
        <w:bidi w:val="0"/>
        <w:spacing w:before="0" w:after="0"/>
        <w:jc w:val="left"/>
        <w:rPr>
          <w:rFonts w:ascii="Times New Roman" w:hAnsi="Times New Roman"/>
          <w:sz w:val="20"/>
        </w:rPr>
      </w:pPr>
      <w:r>
        <w:rPr>
          <w:rFonts w:ascii="Times New Roman" w:hAnsi="Times New Roman"/>
          <w:sz w:val="20"/>
        </w:rPr>
        <w:t xml:space="preserve">e to develop commercial infrastructure and other business functions.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Note 9.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the computation of the basic and diluted net loss per share (in thousands, except share and per share amounts):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830"/>
        <w:gridCol w:w="120"/>
        <w:gridCol w:w="140"/>
        <w:gridCol w:w="1220"/>
        <w:gridCol w:w="155"/>
        <w:gridCol w:w="60"/>
        <w:gridCol w:w="140"/>
        <w:gridCol w:w="1220"/>
        <w:gridCol w:w="155"/>
        <w:gridCol w:w="60"/>
        <w:gridCol w:w="140"/>
        <w:gridCol w:w="1220"/>
        <w:gridCol w:w="155"/>
        <w:gridCol w:w="60"/>
        <w:gridCol w:w="140"/>
        <w:gridCol w:w="1220"/>
        <w:gridCol w:w="170"/>
      </w:tblGrid>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0"/>
              <w:jc w:val="center"/>
              <w:rPr>
                <w:b/>
                <w:spacing w:val="0"/>
              </w:rPr>
            </w:pPr>
            <w:r>
              <w:rPr>
                <w:b/>
                <w:spacing w:val="0"/>
              </w:rPr>
              <w:t>Three Months Ended</w:t>
              <w:br/>
              <w:t>September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0"/>
              <w:jc w:val="center"/>
              <w:rPr>
                <w:b/>
                <w:spacing w:val="0"/>
              </w:rPr>
            </w:pPr>
            <w:r>
              <w:rPr>
                <w:b/>
                <w:spacing w:val="0"/>
              </w:rPr>
              <w:t>Nine Months Ended</w:t>
              <w:br/>
              <w:t>September 30,</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(152,594</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(1,298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(154,258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(3,914</w:t>
            </w:r>
          </w:p>
        </w:tc>
        <w:tc>
          <w:tcPr>
            <w:tcW w:w="170" w:type="dxa"/>
            <w:tcBorders/>
            <w:vAlign w:val="center"/>
          </w:tcPr>
          <w:p>
            <w:pPr>
              <w:pStyle w:val="TableContents"/>
              <w:bidi w:val="0"/>
              <w:spacing w:before="0" w:after="0"/>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Denominator: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8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shares of common stock outstanding,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201,686,617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200,000,000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200,568,383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200,000,000</w:t>
            </w:r>
          </w:p>
        </w:tc>
        <w:tc>
          <w:tcPr>
            <w:tcW w:w="17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(0.76</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(0.01</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(0.77</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(0.02</w:t>
            </w:r>
          </w:p>
        </w:tc>
        <w:tc>
          <w:tcPr>
            <w:tcW w:w="170" w:type="dxa"/>
            <w:tcBorders/>
            <w:shd w:fill="CCEEFF" w:val="clear"/>
            <w:vAlign w:val="center"/>
          </w:tcPr>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Basic net loss per share was the same as diluted net loss per share for all periods as the inclusion of potentially dilutive securities would have been anti-dilutive. Potentially dilutive securities that were not included in the diluted per share calculations were as follows: </w:t>
      </w:r>
    </w:p>
    <w:p>
      <w:pPr>
        <w:pStyle w:val="TextBody"/>
        <w:bidi w:val="0"/>
        <w:spacing w:before="0" w:after="0"/>
        <w:ind w:left="0" w:right="0" w:hanging="0"/>
        <w:jc w:val="left"/>
        <w:rPr>
          <w:spacing w:val="0"/>
        </w:rPr>
      </w:pPr>
      <w:r>
        <w:rPr>
          <w:spacing w:val="0"/>
        </w:rPr>
        <w:t> </w:t>
      </w:r>
    </w:p>
    <w:tbl>
      <w:tblPr>
        <w:tblW w:w="7065" w:type="dxa"/>
        <w:jc w:val="left"/>
        <w:tblInd w:w="0" w:type="dxa"/>
        <w:tblLayout w:type="fixed"/>
        <w:tblCellMar>
          <w:top w:w="0" w:type="dxa"/>
          <w:left w:w="0" w:type="dxa"/>
          <w:bottom w:w="0" w:type="dxa"/>
          <w:right w:w="0" w:type="dxa"/>
        </w:tblCellMar>
      </w:tblPr>
      <w:tblGrid>
        <w:gridCol w:w="4370"/>
        <w:gridCol w:w="120"/>
        <w:gridCol w:w="60"/>
        <w:gridCol w:w="1100"/>
        <w:gridCol w:w="60"/>
        <w:gridCol w:w="120"/>
        <w:gridCol w:w="60"/>
        <w:gridCol w:w="1100"/>
        <w:gridCol w:w="75"/>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vAlign w:val="center"/>
          </w:tcPr>
          <w:p>
            <w:pPr>
              <w:pStyle w:val="TableContents"/>
              <w:bidi w:val="0"/>
              <w:spacing w:before="0" w:after="0"/>
              <w:jc w:val="center"/>
              <w:rPr>
                <w:b/>
                <w:spacing w:val="0"/>
              </w:rPr>
            </w:pPr>
            <w:r>
              <w:rPr>
                <w:b/>
                <w:spacing w:val="0"/>
              </w:rPr>
              <w:t>September 30,</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subject to outstanding common stock warrants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8,760,000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8,760,000</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subject to outstanding common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50,000,000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50,000,000</w:t>
            </w:r>
          </w:p>
        </w:tc>
        <w:tc>
          <w:tcPr>
            <w:tcW w:w="7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Retainer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12,500,000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71,260,000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58,760,000</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expenses to be paid by Semnur Pharmaceuticals, Inc. (the “Registrant”) in connection with the sale of the Common Stock being registered. The security holders will not bear any portion of such expenses. All amounts shown are estimates except for the registration fee. </w:t>
      </w:r>
    </w:p>
    <w:p>
      <w:pPr>
        <w:pStyle w:val="TextBody"/>
        <w:bidi w:val="0"/>
        <w:spacing w:before="0" w:after="0"/>
        <w:jc w:val="left"/>
        <w:rPr/>
      </w:pPr>
      <w:r>
        <w:rPr/>
        <w:t> </w:t>
      </w:r>
    </w:p>
    <w:tbl>
      <w:tblPr>
        <w:tblW w:w="6000" w:type="dxa"/>
        <w:jc w:val="left"/>
        <w:tblInd w:w="0" w:type="dxa"/>
        <w:tblLayout w:type="fixed"/>
        <w:tblCellMar>
          <w:top w:w="0" w:type="dxa"/>
          <w:left w:w="0" w:type="dxa"/>
          <w:bottom w:w="0" w:type="dxa"/>
          <w:right w:w="0" w:type="dxa"/>
        </w:tblCellMar>
      </w:tblPr>
      <w:tblGrid>
        <w:gridCol w:w="4565"/>
        <w:gridCol w:w="120"/>
        <w:gridCol w:w="140"/>
        <w:gridCol w:w="1100"/>
        <w:gridCol w:w="75"/>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267,137.35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150,000</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Printing, transfer agent fees and miscellaneous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25,000</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492,137.35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 of the General Corporation Law of the State of Delaware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restated certificate of incorporation, as amended (the “Certificate of Incorporation”) contains provisions that limit the liability of our directors and officers for monetary damages to the fullest extent permitted by the DGCL. Consequently, the Registrant’s directors and officers will not be personally liable to the Registrant or its stockholders for monetary damages for any breach of fiduciary duty as a director or officer, except liability for the following: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the Registrant or its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director, unlawful payments of dividends or unlawful stock repurchases or redemptions in violation of the DGCL;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officer, any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(the “Bylaws”) provide that the Registrant will indemnify its directors and officers and permit the Registrant to indemnify its employees and other agents, in each case to the extent not prohibited by the DGCL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list sets forth information as to all of the Registrant’s securities sold in the last three years which were not registered under the U.S. Securities Act of 1933, as amended (the “Securities Act”). Capitalized terms used and not defined in this Item 15 have the meaning given to them in the prospectus which forms a part of this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February 3, 2022, we issued an aggregate of 2,156,250 ordinary shares to the Sponsor in exchange for a payment of $25,000 from the Sponsor to cover for certain expenses on behalf of us, or approximately $0.012 per share. The Sponsor later transferred 20,000 ordinary shares to Denali’s then current Chief Financial Officer and 110,000 ordinary shares to certain then current members of our board of directors and forfeited 93,750 ordinary shares pursuant to the underwriters partially exercising their over-allotment option. The sale of the ordinary shares was made pursuant to an exemption from registration contained in Section 4(a)(2)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April 11, 2022, we consummated a private placement, with the Sponsor and the IPO underwriters, of an aggregate of 510,000 Private Placement Units (including over-allotment of 30,000 units) at a purchase price of $10.00 per Private Placement Unit, to the Sponsor, generating gross proceeds of $5,100,000. The Private Placement Warrants in the Private Placement Units are substantially similar to the Public Warrants, except that if held by the sponsor or its permitted transferees, they may be exercised for cash or on a cashless basis and subject to certain limited exceptions and will be subject to transfer restrictions until 30 days following the consummation of an initial business combination. If the Private Placement Warrants are held by holders other than the sponsor or its permitted transferees, the Private Placement Warrants will be redeemable by us under all redemption scenarios and exercisable by holders on the same basis as the Public Warrants. The Private Placement Warrants have been issued pursuant to, and are governed by the Private Placement Units Purchase Agreement. The issuances of the Private Placement Units were made pursuant to the exemption from registration contained in Section 4(a)(2) of the Securities Act. The sale of the Private Placement Warrants was made pursuant to an exemption from registration contained in Section 4(a)(2)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20, 2025, we entered into a securities purchase agreement (the “PIPE SPA”) with Legacy Semnur and the investor named therein (the “PIPE Investor”), pursuant to which the PIPE Investor agreed to purchase 1,250,000 shares of Common Stock at a price of $16.00 per share, for an aggregate purchase price of $20.0 million upon consummation of the Business Combination. On September 22, 2025, the PIPE SPA was amended to provide that unless such agreement was terminated pursuant to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terms (or otherwise by mutual agreement of the parties thereto), the closing would occur not later than the 14th business day following the closing of the Business Combination, subject to the satisfaction or waiver of the closing conditions set forth therein. Upon the closing of the transactions contemplated by the PIPE SPA, the shares will be issued by the Company to the PIPE Investor in reliance upon the provisions of Section 4(a)(2)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September 22, 2025 we entered into the Satisfaction and Discharge of Indebtedness Agreements and Related Promissory Notes with D. Boral and US Tiger. The Common Stock issued to D. Boral and US Tiger, respectively, was issued in reliance upon the provisions of Section 4(a)(2) of the Securities Act or Rule 506(b) of Regulation D promulgated by the SEC under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September 22, 2025, Scilex elected to convert the outstanding amount payable of $124,883.82 under the convertible promissory note dated August 9, 2025 by and between Denali and Scilex(the “Scilex Convertible Promissory Note”) into 12,488 shares of Denali Ordinary Shares at the conversion price of $10 per share. These shares converted automatically, on a one-for-one basis, into 12,488 shares of New Semnur Common Stock (the “Scilex Note Shares”) in connection with the Closing of the Business Combination. The Scilex Note Shares were issued by the Company to Scilex in reliance upon the provisions of Section 4(a)(2) of the Securities Act or Rule 506(b) of Regulation D promulgated by the SEC under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September 23, 2025 we entered into the Biconomy SPA with Biconomy. Pursuant to the Biconomy SPA, we agreed to issue and sell, and Biconomy agreed to purchase, an aggregate of 6,250,000 shares of Common Stock, for a purchase price of $16.00 per share, payable in Bitcoin, with such amount of Bitcoin equal to the quotient of (A) the Buyer’s respective aggregate Purchase Price </w:t>
            </w:r>
            <w:r>
              <w:rPr>
                <w:rFonts w:ascii="Times New Roman" w:hAnsi="Times New Roman"/>
                <w:i/>
                <w:sz w:val="20"/>
              </w:rPr>
              <w:t>divided by</w:t>
            </w:r>
            <w:r>
              <w:rPr>
                <w:rFonts w:ascii="Times New Roman" w:hAnsi="Times New Roman"/>
                <w:sz w:val="20"/>
              </w:rPr>
              <w:t xml:space="preserve"> (B) the spot exchange rate for Bitcoin as published by Coinbase.com at 8:00 p.m. (New York City time) on the trading day immediately prior to the closing date of the purchase. Upon the closing of the transactions contemplated by the Biconomy SPA, the Biconomy Shares will be issued by the Company to Biconomy in reliance upon the provisions of Section 4(a)(2) of the Securities Act and Rule 506(b) of Regulation D promulgated by the SEC under the Securities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Exhibits and Financial Statements Schedules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Exhibit </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
              <w:r>
                <w:rPr>
                  <w:rStyle w:val="InternetLink"/>
                </w:rPr>
                <w:t xml:space="preserve">Agreement and Plan of Merger, dated as of March 18, 2019, by and among Scilex Holding Company, Sigma Merger Sub, Inc., Semnur Pharmaceuticals, Inc., Fortis Advisors LLC, solely as the representative of the Equityholders and, solely with respect to Section 1.8(a), Section 3.11 and Article X, Sorrento Therapeutics, Inc. (incorporated by reference to Exhibit 2.1 of Denali’s registration statement on Form S-4 filed with the SEC on August 12,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
              <w:r>
                <w:rPr>
                  <w:rStyle w:val="InternetLink"/>
                </w:rPr>
                <w:t xml:space="preserve">Amendment No. 1 to Agreement and Plan of Merger, dated as of August 7, 2019, by and among Semnur Pharmaceuticals, Inc., Scilex Holding Company, Sigma Merger Sub, Inc., Fortis Advisors, LLC, solely as the representative of the Equityholders and, solely with respect to Section 1.8(a), 3.11 and Article X of the Agreement and Plan of Merger, Sorrento Therapeutics, Inc. (incorporated by reference to Exhibit 2.2 of Denali’s registration statement on Form S-4 filed with the SEC on August 12,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"http://www.sec.gov/Archives/edgar/data/../../../ix?doc=/Archives/edgar/data/0001913577/000119312525178821/d887184ds4a.htm" \l "toc887184_269"</w:instrText>
            </w:r>
            <w:r>
              <w:rPr>
                <w:rStyle w:val="InternetLink"/>
              </w:rPr>
              <w:fldChar w:fldCharType="separate"/>
            </w:r>
            <w:r>
              <w:rPr>
                <w:rStyle w:val="InternetLink"/>
              </w:rPr>
              <w:t xml:space="preserve">Agreement and Plan of Merger, dated as of August 30, 2024, by and among Denali Capital Acquisition Corp., Denali Merger Sub Inc. and Semnur Pharmaceuticals, Inc. (incorporated by reference to Exhibit 2.3 of Denali’s registration statement on Form S-4 filed with the SEC on August 12, 2025).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"http://www.sec.gov/Archives/edgar/data/../../../ix?doc=/Archives/edgar/data/0001913577/000119312525178821/d887184ds4a.htm" \l "toc887184_269a"</w:instrText>
            </w:r>
            <w:r>
              <w:rPr>
                <w:rStyle w:val="InternetLink"/>
              </w:rPr>
              <w:fldChar w:fldCharType="separate"/>
            </w:r>
            <w:r>
              <w:rPr>
                <w:rStyle w:val="InternetLink"/>
              </w:rPr>
              <w:t xml:space="preserve">Amendment No. 1 to Agreement and Plan of Merger, dated as of April 16, 2025, by and among Denali Capital Acquisition Corp., Denali Merger Sub Inc. and Semnur Pharmaceuticals, Inc. (incorporated by reference to Exhibit 2.4 of Denali’s registration statement on Form S-4 filed with the SEC on August 12, 2025).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"http://www.sec.gov/Archives/edgar/data/../../../ix?doc=/Archives/edgar/data/0001913577/000119312525178821/d887184ds4a.htm" \l "toc887184_270ab"</w:instrText>
            </w:r>
            <w:r>
              <w:rPr>
                <w:rStyle w:val="InternetLink"/>
              </w:rPr>
              <w:fldChar w:fldCharType="separate"/>
            </w:r>
            <w:r>
              <w:rPr>
                <w:rStyle w:val="InternetLink"/>
              </w:rPr>
              <w:t xml:space="preserve">Amendment No. 2 to Agreement and Plan of Merger, dated as of July 22, 2025, by and among Denali Capital Acquisition Corp., Denali Merger Sub Inc. and Semnur Pharmaceuticals, Inc. (incorporated by reference to Exhibit 2.5 of Denali’s registration statement on Form S-4 filed with the SEC on August 12, 2025). </w:t>
            </w:r>
            <w:r>
              <w:rPr>
                <w:rStyle w:val="InternetLink"/>
              </w:rPr>
              <w:fldChar w:fldCharType="end"/>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5">
              <w:r>
                <w:rPr>
                  <w:rStyle w:val="InternetLink"/>
                </w:rPr>
                <w:t xml:space="preserve">Restated Certificate of Incorporation of Semnur Pharmaceuticals, Inc. (incorporated by reference to Exhibit 3.1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6">
              <w:r>
                <w:rPr>
                  <w:rStyle w:val="InternetLink"/>
                </w:rPr>
                <w:t xml:space="preserve">Certificate of Designations of Semnur Pharmaceuticals, Inc. (incorporated by reference to Exhibit 3.2 of our Current Report on Form 8-K (File No. 001- 41351),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7">
              <w:r>
                <w:rPr>
                  <w:rStyle w:val="InternetLink"/>
                </w:rPr>
                <w:t xml:space="preserve">Bylaws of Semnur Pharmaceuticals, Inc. (incorporated by reference to Exhibit 3.3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8">
              <w:r>
                <w:rPr>
                  <w:rStyle w:val="InternetLink"/>
                </w:rPr>
                <w:t xml:space="preserve">Extension Amendment, dated as of April 11, 2025, to the Amended and Restated Memorandum and Articles of Association of Denali Capital Acquisition Corp. (incorporated by reference to Exhibit 3.1 of Denali’s Current Report on Form 8-K (File No. 001- 41351), filed with the SEC on April 16,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9">
              <w:r>
                <w:rPr>
                  <w:rStyle w:val="InternetLink"/>
                </w:rPr>
                <w:t xml:space="preserve">Specimen Warrant Certificate of Semnur Pharmaceuticals, Inc. (f/k/a Denali Capital Acquisition Corp.) (incorporated by reference to Exhibit 4.3 of Denali’s Form S-1 filed with the SEC on April 5, 2022).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0">
              <w:r>
                <w:rPr>
                  <w:rStyle w:val="InternetLink"/>
                </w:rPr>
                <w:t xml:space="preserve">Warrant Agreement, dated as of April 6, 2022, between Denali Capital Acquisition Corp. and VStock Transfer, LLC, as warrant agent (incorporated by reference to Exhibit 4.1 of Denali’s Current Report on Form 8-K filed with the SEC on April 12, 2022).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1">
              <w:r>
                <w:rPr>
                  <w:rStyle w:val="InternetLink"/>
                </w:rPr>
                <w:t xml:space="preserve">Opinion of Paul Hastings LLP.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Exhibit </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2">
              <w:r>
                <w:rPr>
                  <w:rStyle w:val="InternetLink"/>
                </w:rPr>
                <w:t xml:space="preserve">Letter Agreement, dated as of April 6, 2022, by and among Denali Capital Acquisition Corp., Denali Capital Global Investments LLC and certain security holders named therein (incorporated by reference to Exhibit 10.5 of Denali’s Current Report on Form 8-K (File No. 001-41351), filed with the SEC on April 12, 2022).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3">
              <w:r>
                <w:rPr>
                  <w:rStyle w:val="InternetLink"/>
                </w:rPr>
                <w:t xml:space="preserve">Contribution and Satisfaction of Indebtedness Agreement, dated as of August 30, 2024, by and between Scilex Holding Company and Semnur Pharmaceuticals, Inc. (incorporated by reference to Exhibit 10.17 of Amendment No. 1 to Denali’s registration statement on Form S-4 filed with the SEC on April 21,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4">
              <w:r>
                <w:rPr>
                  <w:rStyle w:val="InternetLink"/>
                </w:rPr>
                <w:t xml:space="preserve">Amended and Restated Registration Rights Agreement, dated as of September 22, 2025, by and among Semnur Pharmaceuticals, Inc., Scilex Holding Company and certain security holders (incorporated by reference to Exhibit 10.2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5">
              <w:r>
                <w:rPr>
                  <w:rStyle w:val="InternetLink"/>
                </w:rPr>
                <w:t xml:space="preserve">Form of Indemnification Agreement of Semnur Pharmaceuticals, Inc. (incorporated by reference to Exhibit 10.11 of Amendment No. 1 to Denali’s registration statement on Form S-4 filed with the SEC on April 21,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6">
              <w:r>
                <w:rPr>
                  <w:rStyle w:val="InternetLink"/>
                </w:rPr>
                <w:t xml:space="preserve">2024 Semnur Pharmaceuticals, Inc. Stock Option Plan. (incorporated by reference to Exhibit 10.12 of Amendment No. 6 to Denali’s registration statement on Form S-4 filed with the SEC on August 11,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7">
              <w:r>
                <w:rPr>
                  <w:rStyle w:val="InternetLink"/>
                </w:rPr>
                <w:t xml:space="preserve">Form of Stock Option Grant Notice and Form of Stock Option Agreement under 2024 Semnur Pharmaceuticals, Inc. Stock Option Plan (incorporated by reference to Exhibit 10.13 of Amendment No. 6 to Denali’s registration statement on Form S-4 filed with the SEC on August 11,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8">
              <w:r>
                <w:rPr>
                  <w:rStyle w:val="InternetLink"/>
                </w:rPr>
                <w:t xml:space="preserve">Sponsor Interest Purchase Agreement, dated as of August 30, 2024, by and between Denali Capital Global Investments LLC and Scilex Holding Company (incorporated by reference to Exhibit 10.3 to Denali’s Current Report on Form 8-K (File No. 001-41351), filed with the SEC on September 5, 2024).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19">
              <w:r>
                <w:rPr>
                  <w:rStyle w:val="InternetLink"/>
                </w:rPr>
                <w:t xml:space="preserve">Master Services Agreement—SP-102, dated as of January 27, 2017, by and between Semnur Pharmaceuticals, Inc. and Lifecore Biomedical, LLC. (incorporated by reference to Exhibit 10.19 of Amendment No. 7 to Denali’s registration statement on Form S-4 filed with the SEC on August 12,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0">
              <w:r>
                <w:rPr>
                  <w:rStyle w:val="InternetLink"/>
                </w:rPr>
                <w:t xml:space="preserve">Amendment No. 1 to Master Services Agreement, dated as of April 26, 2018, by and between Semnur Pharmaceuticals, Inc. and Lifecore Biomedical, LLC. (incorporated by reference to Exhibit 10.20 of Amendment No. 7 to Denali’s registration statement on Form S-4 filed with the SEC on August 12,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1">
              <w:r>
                <w:rPr>
                  <w:rStyle w:val="InternetLink"/>
                </w:rPr>
                <w:t xml:space="preserve">Amendment No. 2 to Master Services Agreement, dated as of June 6, 2023, by and between Semnur Pharmaceuticals, Inc. and Lifecore Biomedical, LLC. (incorporated by reference to Exhibit 10.21 of Amendment No. 7 to Denali’s registration statement on Form S-4 filed with the SEC on August 12,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2">
              <w:r>
                <w:rPr>
                  <w:rStyle w:val="InternetLink"/>
                </w:rPr>
                <w:t xml:space="preserve">Assignment Agreement by and among Shah Investor LP and the Company, dated as of August 6, 2013. (incorporated by reference to Exhibit 10.22 of Amendment No. 7 to Denali’s registration statement on Form S-4 filed with the SEC on August 12,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23">
              <w:r>
                <w:rPr>
                  <w:rStyle w:val="InternetLink"/>
                </w:rPr>
                <w:t xml:space="preserve">Advisory Services Agreement, dated as of August 26, 2024, by and between Wise Orient Investments Limited and Semnur Pharmaceuticals, Inc. (incorporated by reference to Exhibit 10.23 of Amendment No. 7 to Denali’s registration statement on Form S-4 filed with the SEC on August 12,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04"/>
        <w:gridCol w:w="120"/>
        <w:gridCol w:w="9181"/>
      </w:tblGrid>
      <w:tr>
        <w:trPr/>
        <w:tc>
          <w:tcPr>
            <w:tcW w:w="9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904"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Exhibit </w:t>
              <w:br/>
              <w:t>Number</w:t>
            </w:r>
          </w:p>
        </w:tc>
        <w:tc>
          <w:tcPr>
            <w:tcW w:w="120" w:type="dxa"/>
            <w:tcBorders/>
            <w:vAlign w:val="center"/>
          </w:tcPr>
          <w:p>
            <w:pPr>
              <w:pStyle w:val="TableContents"/>
              <w:bidi w:val="0"/>
              <w:spacing w:before="0" w:after="283"/>
              <w:jc w:val="left"/>
              <w:rPr/>
            </w:pPr>
            <w:r>
              <w:rPr/>
              <w:t>  </w:t>
            </w:r>
          </w:p>
        </w:tc>
        <w:tc>
          <w:tcPr>
            <w:tcW w:w="918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10.12.1</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24">
              <w:r>
                <w:rPr>
                  <w:rStyle w:val="InternetLink"/>
                </w:rPr>
                <w:t xml:space="preserve">Amendment to Advisory Services Agreement, dated as of July 22, 2025, by and between Wise Orient Investments Limited and Semnur Pharmaceuticals, Inc. (incorporated by reference to Exhibit 10.23.1 of Amendment No. 7 to Denali’s registration statement on Form S-4 filed with the SEC on August 12,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25">
              <w:r>
                <w:rPr>
                  <w:rStyle w:val="InternetLink"/>
                </w:rPr>
                <w:t xml:space="preserve">Advisory Services Agreement, dated as of August 25, 2024, by and between 450W42ND MIMA, LLC and Semnur Pharmaceuticals, Inc. (incorporated by reference to Exhibit 10.24 of Amendment No. 7 to Denali’s registration statement on Form S-4 filed with the SEC on August 12,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10.13.1</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26">
              <w:r>
                <w:rPr>
                  <w:rStyle w:val="InternetLink"/>
                </w:rPr>
                <w:t xml:space="preserve">Amendment to Advisory Services Agreement, dated as of July 22, 2025, by and between 450W42ND MIMA, LLC and Semnur Pharmaceuticals, Inc. (incorporated by reference to Exhibit 10.24.1 of Amendment No. 7 to Denali’s registration statement on Form S-4 filed with the SEC on August 12,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27">
              <w:r>
                <w:rPr>
                  <w:rStyle w:val="InternetLink"/>
                </w:rPr>
                <w:t>Transition Services Agreement, dated as of September 22, 2025, by and between Scilex Holding Company and the Company.</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28">
              <w:r>
                <w:rPr>
                  <w:rStyle w:val="InternetLink"/>
                </w:rPr>
                <w:t xml:space="preserve">Stock Issuance Agreement, dated as of July 22, 2025, by and between Semnur Pharmaceuticals, Inc. and the party named therein. (incorporated by reference to Exhibit 10.27 of Amendment No. 7 to Denali’s registration statement on Form S-4 filed with the SEC on August 12,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29">
              <w:r>
                <w:rPr>
                  <w:rStyle w:val="InternetLink"/>
                </w:rPr>
                <w:t xml:space="preserve">Advisory Services Agreement, dated as of June 12, 2025, by and between JW Investment Management Company Limited and Semnur Pharmaceuticals, Inc. (incorporated by reference to Exhibit 10.28 of Amendment No. 7 to Denali’s registration statement on Form S-4 filed with the SEC on August 12,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30">
              <w:r>
                <w:rPr>
                  <w:rStyle w:val="InternetLink"/>
                </w:rPr>
                <w:t xml:space="preserve">Amendment to Advisory Services Agreement, dated as of July 22, 2025, by and between JW Investment Management Company Limited and Semnur Pharmaceuticals, Inc. (incorporated by reference to Exhibit 10.29 of Amendment No. 7 to Denali’s registration statement on Form S-4 filed with the SEC on August 12,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31">
              <w:r>
                <w:rPr>
                  <w:rStyle w:val="InternetLink"/>
                </w:rPr>
                <w:t xml:space="preserve">Satisfaction and Discharge Agreement, dated as of September 22, 2025, by and between Denali Capital Acquisition Corp., Denali Capital Global Investments LLC, and Scilex Holding Company. (incorporated by reference to Exhibit 10.9 of our Current Report on Form 8-K (File No. 001-41351), filed with the SEC on September 26,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32">
              <w:r>
                <w:rPr>
                  <w:rStyle w:val="InternetLink"/>
                </w:rPr>
                <w:t xml:space="preserve">Promissory Note, dated as September 22, 2025, issued by between Denali Capital Acquisition Corp. to Denali Capital Global Investments LLC. (incorporated by reference to Exhibit 10.10 of our Current Report on Form 8-K (File No. 001-41351), filed with the SEC on September 26,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33">
              <w:r>
                <w:rPr>
                  <w:rStyle w:val="InternetLink"/>
                </w:rPr>
                <w:t xml:space="preserve">Securities Purchase Agreement, dated as of August 20, 2025, by and among Denali Capital Acquisition Corp., Semnur Pharmaceuticals, Inc. and the Buyers thereto (incorporated by reference to Exhibit 10.1 of Denali’s Current Report on Form 8-K, (File No. 001-41351), filed with the SEC on August 22,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34">
              <w:r>
                <w:rPr>
                  <w:rStyle w:val="InternetLink"/>
                </w:rPr>
                <w:t>Satisfaction and Discharge of Indebtedness Agreement, dated September 22, 2025, by and between Denali Capital Acquisition Corp. and D. Boral Capital LLC (f/k/a EF Hutton) (incorporated by reference to Exhibit 10.5 of our Current Report on Form 8-K</w:t>
                <w:br/>
                <w:t xml:space="preserve">(File No. 001-41351), filed with the SEC on September 26, 2025). </w:t>
              </w:r>
            </w:hyperlink>
          </w:p>
        </w:tc>
      </w:tr>
      <w:tr>
        <w:trPr/>
        <w:tc>
          <w:tcPr>
            <w:tcW w:w="904" w:type="dxa"/>
            <w:tcBorders/>
            <w:vAlign w:val="center"/>
          </w:tcPr>
          <w:p>
            <w:pPr>
              <w:pStyle w:val="TableContents"/>
              <w:bidi w:val="0"/>
              <w:spacing w:before="0" w:after="283"/>
              <w:jc w:val="left"/>
              <w:rPr>
                <w:sz w:val="4"/>
                <w:szCs w:val="4"/>
              </w:rPr>
            </w:pPr>
            <w:r>
              <w:rPr>
                <w:sz w:val="4"/>
                <w:szCs w:val="4"/>
              </w:rPr>
            </w:r>
          </w:p>
        </w:tc>
        <w:tc>
          <w:tcPr>
            <w:tcW w:w="9301" w:type="dxa"/>
            <w:gridSpan w:val="2"/>
            <w:tcBorders/>
            <w:vAlign w:val="center"/>
          </w:tcPr>
          <w:p>
            <w:pPr>
              <w:pStyle w:val="TableContents"/>
              <w:bidi w:val="0"/>
              <w:spacing w:before="0" w:after="283"/>
              <w:jc w:val="left"/>
              <w:rPr>
                <w:sz w:val="4"/>
                <w:szCs w:val="4"/>
              </w:rPr>
            </w:pPr>
            <w:r>
              <w:rPr>
                <w:sz w:val="4"/>
                <w:szCs w:val="4"/>
              </w:rPr>
            </w:r>
          </w:p>
        </w:tc>
      </w:tr>
      <w:tr>
        <w:trPr/>
        <w:tc>
          <w:tcPr>
            <w:tcW w:w="904"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181" w:type="dxa"/>
            <w:tcBorders/>
            <w:vAlign w:val="center"/>
          </w:tcPr>
          <w:p>
            <w:pPr>
              <w:pStyle w:val="TableContents"/>
              <w:bidi w:val="0"/>
              <w:spacing w:before="0" w:after="283"/>
              <w:jc w:val="left"/>
              <w:rPr/>
            </w:pPr>
            <w:hyperlink r:id="rId35">
              <w:r>
                <w:rPr>
                  <w:rStyle w:val="InternetLink"/>
                </w:rPr>
                <w:t xml:space="preserve">Promissory Note, dated September 22, 2025, issued by Denali Capital Acquisition Corp. to D. Boral Capital LLC (f/k/a EF Hutton) (incorporated by reference to Exhibit 10.6 of our Current Report on Form 8-K (File No. 001-41351), filed with the SEC on September 26,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Exhibit </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6">
              <w:r>
                <w:rPr>
                  <w:rStyle w:val="InternetLink"/>
                </w:rPr>
                <w:t xml:space="preserve">Satisfaction and Discharge of Indebtedness Agreement, dated September 22, 2025, by and between Denali Capital Acquisition Corp. and US Tiger Securities, Inc. (incorporated by reference to Exhibit 10.7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7">
              <w:r>
                <w:rPr>
                  <w:rStyle w:val="InternetLink"/>
                </w:rPr>
                <w:t xml:space="preserve">Promissory Note, dated September 22, 2025, issued by Denali Capital Acquisition Corp. to US Tiger Securities, Inc. (incorporated by reference to Exhibit 10.8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8">
              <w:r>
                <w:rPr>
                  <w:rStyle w:val="InternetLink"/>
                </w:rPr>
                <w:t xml:space="preserve">Satisfaction and Discharge of Indebtedness Agreement, dated September 22, 2025, by and between Denali Capital Acquisition Corp., Denali Capital Global Investments LLC and Scilex Holding Company (incorporated by reference to Exhibit 10.9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39">
              <w:r>
                <w:rPr>
                  <w:rStyle w:val="InternetLink"/>
                </w:rPr>
                <w:t xml:space="preserve">Promissory Note, dated September 22, 2025, issued by Denali Capital Acquisition Corp. to Denali Capital Global Investments LLC (incorporated by reference to Exhibit 10.10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0">
              <w:r>
                <w:rPr>
                  <w:rStyle w:val="InternetLink"/>
                </w:rPr>
                <w:t xml:space="preserve">Satisfaction and Discharge of Indebtedness Agreement, dated September 22, 2025, by and between Denali Capital Acquisition Corp., Denali Capital Global Investments LLC and FutureTech Capital LLC (incorporated by reference to Exhibit 10.11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1">
              <w:r>
                <w:rPr>
                  <w:rStyle w:val="InternetLink"/>
                </w:rPr>
                <w:t xml:space="preserve">Promissory Note, dated September 22, 2025, issued by Denali Capital Acquisition Corp. to FutureTech Capital LLC (incorporated by reference to Exhibit 10.12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2">
              <w:r>
                <w:rPr>
                  <w:rStyle w:val="InternetLink"/>
                </w:rPr>
                <w:t xml:space="preserve">Limited Amendment Letter Agreement, dated September 22, 2025, by and among Denali Capital Acquisition Corp., Semnur Pharmaceuticals, Inc. and the investor listed therein (incorporated by reference to Exhibit 10.13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3">
              <w:r>
                <w:rPr>
                  <w:rStyle w:val="InternetLink"/>
                </w:rPr>
                <w:t>Securities Purchase Agreement, dated September 23, 2025, by and among Semnur Pharmaceuticals, Inc. and the investors listed on the schedule of buyers attached hereto (incorporated by reference to Exhibit 10.14 of our Current Report on Form 8-K</w:t>
                <w:br/>
                <w:t xml:space="preserve">(File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4">
              <w:r>
                <w:rPr>
                  <w:rStyle w:val="InternetLink"/>
                </w:rPr>
                <w:t xml:space="preserve">Employment Agreement, dated September 22, 2025, by and between Semnur Pharmaceuticals, Inc. and Jaisim Shah (incorporated by reference to Exhibit 10.15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5">
              <w:r>
                <w:rPr>
                  <w:rStyle w:val="InternetLink"/>
                </w:rPr>
                <w:t xml:space="preserve">Employment Agreement, dated September 22, 2025, by and between Semnur Pharmaceuticals, Inc. and Henry Ji, Ph.D (incorporated by reference to Exhibit 10.16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6">
              <w:r>
                <w:rPr>
                  <w:rStyle w:val="InternetLink"/>
                </w:rPr>
                <w:t xml:space="preserve">Employment Agreement, dated September 22, 2025, by and between Semnur Pharmaceuticals, Inc. and Stephen Ma (incorporated by reference to Exhibit 10.17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10.34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7">
              <w:r>
                <w:rPr>
                  <w:rStyle w:val="InternetLink"/>
                </w:rPr>
                <w:t>Company Stockholder Support Agreement, dated as of August 30, 2024, by and among Scilex Holding Company, Semnur Pharmaceuticals, Inc. and Denali Capital Acquisition Corp. (incorporated by reference to Exhibit 10.2 of our Current Report on Form 8-K</w:t>
                <w:br/>
                <w:t xml:space="preserve">(File No. 001- 41351), filed with the SEC on September 5, 2024).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r:id="rId48">
              <w:r>
                <w:rPr>
                  <w:rStyle w:val="InternetLink"/>
                </w:rPr>
                <w:t xml:space="preserve">List of Subsidiaries of the Registrant. (incorporated by reference to Exhibit 21.1 of our Current Report on Form 8-K (File No. 001-41351), filed with the SEC on September 26, 2025).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63562dex231.htm">
              <w:r>
                <w:rPr>
                  <w:rStyle w:val="InternetLink"/>
                </w:rPr>
                <w:t xml:space="preserve">Consent of Pipara &amp; Co LLP, independent registered public accounting firm of Semnur.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730" w:type="dxa"/>
        <w:jc w:val="left"/>
        <w:tblInd w:w="0" w:type="dxa"/>
        <w:tblLayout w:type="fixed"/>
        <w:tblCellMar>
          <w:top w:w="0" w:type="dxa"/>
          <w:left w:w="0" w:type="dxa"/>
          <w:bottom w:w="0" w:type="dxa"/>
          <w:right w:w="0" w:type="dxa"/>
        </w:tblCellMar>
      </w:tblPr>
      <w:tblGrid>
        <w:gridCol w:w="950"/>
        <w:gridCol w:w="120"/>
        <w:gridCol w:w="8660"/>
      </w:tblGrid>
      <w:tr>
        <w:trPr/>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60" w:type="dxa"/>
            <w:tcBorders/>
            <w:vAlign w:val="center"/>
          </w:tcPr>
          <w:p>
            <w:pPr>
              <w:pStyle w:val="TableContents"/>
              <w:bidi w:val="0"/>
              <w:spacing w:before="0" w:after="283"/>
              <w:jc w:val="left"/>
              <w:rPr>
                <w:sz w:val="4"/>
                <w:szCs w:val="4"/>
              </w:rPr>
            </w:pPr>
            <w:r>
              <w:rPr>
                <w:sz w:val="4"/>
                <w:szCs w:val="4"/>
              </w:rPr>
            </w:r>
          </w:p>
        </w:tc>
      </w:tr>
      <w:tr>
        <w:trPr/>
        <w:tc>
          <w:tcPr>
            <w:tcW w:w="950"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Exhibit </w:t>
              <w:br/>
              <w:t>Number</w:t>
            </w:r>
          </w:p>
        </w:tc>
        <w:tc>
          <w:tcPr>
            <w:tcW w:w="120" w:type="dxa"/>
            <w:tcBorders/>
            <w:vAlign w:val="center"/>
          </w:tcPr>
          <w:p>
            <w:pPr>
              <w:pStyle w:val="TableContents"/>
              <w:bidi w:val="0"/>
              <w:spacing w:before="0" w:after="283"/>
              <w:jc w:val="left"/>
              <w:rPr/>
            </w:pPr>
            <w:r>
              <w:rPr/>
              <w:t>  </w:t>
            </w:r>
          </w:p>
        </w:tc>
        <w:tc>
          <w:tcPr>
            <w:tcW w:w="8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hyperlink r:id="rId49">
              <w:r>
                <w:rPr>
                  <w:rStyle w:val="InternetLink"/>
                </w:rPr>
                <w:t xml:space="preserve">Consent of Paul Hastings LLP (included in Exhibit 5.1). </w:t>
              </w:r>
            </w:hyperlink>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"http://www.sec.gov/Archives/edgar/data/1913577/000119312525245178/d63562ds1.htm" \l "sig"</w:instrText>
            </w:r>
            <w:r>
              <w:rPr>
                <w:rStyle w:val="InternetLink"/>
              </w:rPr>
              <w:fldChar w:fldCharType="separate"/>
            </w:r>
            <w:r>
              <w:rPr>
                <w:rStyle w:val="InternetLink"/>
              </w:rPr>
              <w:t xml:space="preserve">Power of Attorney. </w:t>
            </w:r>
            <w:r>
              <w:rPr>
                <w:rStyle w:val="InternetLink"/>
              </w:rPr>
              <w:fldChar w:fldCharType="end"/>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Inline XBRL Instance Document.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Inline XBRL Taxonomy Extension Schema Document.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Inline XBRL Taxonomy Extension Calculation Linkbase Document.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Inline XBRL Taxonomy Extension Definition Linkbase Document.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Inline XBRL Taxonomy Extension Labels Linkbase Document.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Inline XBRL Taxonomy Extension Presentation Linkbase Document.</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r>
              <w:rPr/>
              <w:t>Cover Page Interactive Data File (formatted as Inline XBRL and contained in Exhibit 101).</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780" w:type="dxa"/>
            <w:gridSpan w:val="2"/>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left"/>
              <w:rPr/>
            </w:pPr>
            <w:hyperlink r:id="rId50">
              <w:r>
                <w:rPr>
                  <w:rStyle w:val="InternetLink"/>
                </w:rPr>
                <w:t>Filing Fee Table.</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 The Registrant agrees to furnish a copy of all omitted exhibits and schedules to the SEC upon its request.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UNDERTAKINGS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230"/>
        <w:gridCol w:w="9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(ii)</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(“SEC”)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2.</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4.</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5.</w:t>
            </w:r>
          </w:p>
        </w:tc>
        <w:tc>
          <w:tcPr>
            <w:tcW w:w="99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(ii)</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350"/>
        <w:gridCol w:w="888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sig"/>
      <w:bookmarkEnd w:id="2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co-registrant has duly caused this registration statement to be signed on its behalf by the undersigned, thereunto duly authorized, on the 19th day of December, 2025. </w:t>
      </w:r>
    </w:p>
    <w:p>
      <w:pPr>
        <w:pStyle w:val="TextBody"/>
        <w:bidi w:val="0"/>
        <w:spacing w:before="0" w:after="0"/>
        <w:jc w:val="left"/>
        <w:rPr/>
      </w:pPr>
      <w:r>
        <w:rPr/>
        <w:t> </w:t>
      </w:r>
    </w:p>
    <w:tbl>
      <w:tblPr>
        <w:tblW w:w="3108" w:type="dxa"/>
        <w:jc w:val="left"/>
        <w:tblInd w:w="0" w:type="dxa"/>
        <w:tblLayout w:type="fixed"/>
        <w:tblCellMar>
          <w:top w:w="0" w:type="dxa"/>
          <w:left w:w="0" w:type="dxa"/>
          <w:bottom w:w="0" w:type="dxa"/>
          <w:right w:w="0" w:type="dxa"/>
        </w:tblCellMar>
      </w:tblPr>
      <w:tblGrid>
        <w:gridCol w:w="1052"/>
        <w:gridCol w:w="195"/>
        <w:gridCol w:w="1861"/>
      </w:tblGrid>
      <w:tr>
        <w:trPr/>
        <w:tc>
          <w:tcPr>
            <w:tcW w:w="10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108" w:type="dxa"/>
            <w:gridSpan w:val="3"/>
            <w:tcBorders/>
            <w:vAlign w:val="center"/>
          </w:tcPr>
          <w:p>
            <w:pPr>
              <w:pStyle w:val="TableContents"/>
              <w:bidi w:val="0"/>
              <w:spacing w:before="0" w:after="283"/>
              <w:jc w:val="left"/>
              <w:rPr>
                <w:b/>
              </w:rPr>
            </w:pPr>
            <w:r>
              <w:rPr>
                <w:b/>
              </w:rPr>
              <w:t>Semnur Pharmaceuticals, Inc.</w:t>
            </w:r>
          </w:p>
        </w:tc>
      </w:tr>
      <w:tr>
        <w:trPr/>
        <w:tc>
          <w:tcPr>
            <w:tcW w:w="1052" w:type="dxa"/>
            <w:tcBorders/>
            <w:vAlign w:val="center"/>
          </w:tcPr>
          <w:p>
            <w:pPr>
              <w:pStyle w:val="TableContents"/>
              <w:bidi w:val="0"/>
              <w:spacing w:before="0" w:after="283"/>
              <w:jc w:val="left"/>
              <w:rPr>
                <w:sz w:val="4"/>
                <w:szCs w:val="4"/>
              </w:rPr>
            </w:pPr>
            <w:r>
              <w:rPr>
                <w:sz w:val="4"/>
                <w:szCs w:val="4"/>
              </w:rPr>
            </w:r>
          </w:p>
        </w:tc>
        <w:tc>
          <w:tcPr>
            <w:tcW w:w="2056" w:type="dxa"/>
            <w:gridSpan w:val="2"/>
            <w:tcBorders/>
            <w:vAlign w:val="center"/>
          </w:tcPr>
          <w:p>
            <w:pPr>
              <w:pStyle w:val="TableContents"/>
              <w:bidi w:val="0"/>
              <w:spacing w:before="0" w:after="283"/>
              <w:jc w:val="left"/>
              <w:rPr>
                <w:sz w:val="4"/>
                <w:szCs w:val="4"/>
              </w:rPr>
            </w:pPr>
            <w:r>
              <w:rPr>
                <w:sz w:val="4"/>
                <w:szCs w:val="4"/>
              </w:rPr>
            </w:r>
          </w:p>
        </w:tc>
      </w:tr>
      <w:tr>
        <w:trPr/>
        <w:tc>
          <w:tcPr>
            <w:tcW w:w="1052" w:type="dxa"/>
            <w:tcBorders/>
            <w:vAlign w:val="center"/>
          </w:tcPr>
          <w:p>
            <w:pPr>
              <w:pStyle w:val="TableContents"/>
              <w:bidi w:val="0"/>
              <w:spacing w:before="0" w:after="283"/>
              <w:jc w:val="left"/>
              <w:rPr/>
            </w:pPr>
            <w:r>
              <w:rPr/>
              <w:t>By:</w:t>
            </w:r>
          </w:p>
        </w:tc>
        <w:tc>
          <w:tcPr>
            <w:tcW w:w="195" w:type="dxa"/>
            <w:tcBorders/>
            <w:vAlign w:val="center"/>
          </w:tcPr>
          <w:p>
            <w:pPr>
              <w:pStyle w:val="TableContents"/>
              <w:bidi w:val="0"/>
              <w:spacing w:before="0" w:after="283"/>
              <w:jc w:val="left"/>
              <w:rPr/>
            </w:pPr>
            <w:r>
              <w:rPr/>
              <w:t> </w:t>
            </w:r>
          </w:p>
        </w:tc>
        <w:tc>
          <w:tcPr>
            <w:tcW w:w="186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Jaisim Shah</w:t>
            </w:r>
          </w:p>
        </w:tc>
      </w:tr>
    </w:tbl>
    <w:tbl>
      <w:tblPr>
        <w:tblW w:w="1885" w:type="dxa"/>
        <w:jc w:val="left"/>
        <w:tblInd w:w="0" w:type="dxa"/>
        <w:tblLayout w:type="fixed"/>
        <w:tblCellMar>
          <w:top w:w="0" w:type="dxa"/>
          <w:left w:w="0" w:type="dxa"/>
          <w:bottom w:w="0" w:type="dxa"/>
          <w:right w:w="0" w:type="dxa"/>
        </w:tblCellMar>
      </w:tblPr>
      <w:tblGrid>
        <w:gridCol w:w="665"/>
        <w:gridCol w:w="60"/>
        <w:gridCol w:w="11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Jaisim Shah</w:t>
            </w:r>
          </w:p>
        </w:tc>
      </w:tr>
    </w:tbl>
    <w:tbl>
      <w:tblPr>
        <w:tblW w:w="4225" w:type="dxa"/>
        <w:jc w:val="left"/>
        <w:tblInd w:w="0" w:type="dxa"/>
        <w:tblLayout w:type="fixed"/>
        <w:tblCellMar>
          <w:top w:w="0" w:type="dxa"/>
          <w:left w:w="0" w:type="dxa"/>
          <w:bottom w:w="0" w:type="dxa"/>
          <w:right w:w="0" w:type="dxa"/>
        </w:tblCellMar>
      </w:tblPr>
      <w:tblGrid>
        <w:gridCol w:w="530"/>
        <w:gridCol w:w="60"/>
        <w:gridCol w:w="3635"/>
      </w:tblGrid>
      <w:tr>
        <w:trPr/>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53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Chief Executive Officer and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2390"/>
        <w:gridCol w:w="60"/>
        <w:gridCol w:w="3635"/>
        <w:gridCol w:w="60"/>
        <w:gridCol w:w="191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Jaisim Shah</w:t>
            </w:r>
          </w:p>
          <w:p>
            <w:pPr>
              <w:pStyle w:val="TableContents"/>
              <w:bidi w:val="0"/>
              <w:spacing w:before="0" w:after="20"/>
              <w:jc w:val="left"/>
              <w:rPr/>
            </w:pPr>
            <w:r>
              <w:rPr/>
              <w:t>  </w:t>
            </w:r>
            <w:r>
              <w:rPr>
                <w:rFonts w:ascii="Times New Roman" w:hAnsi="Times New Roman"/>
                <w:sz w:val="20"/>
              </w:rPr>
              <w:t>Jaisim Shah</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Executive Officer and President</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pPr>
            <w:r>
              <w:rPr/>
              <w:t>  </w:t>
            </w:r>
            <w:r>
              <w:rPr>
                <w:rFonts w:ascii="Times New Roman" w:hAnsi="Times New Roman"/>
                <w:sz w:val="20"/>
              </w:rPr>
              <w:t>Stephen Ma</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pPr>
            <w:r>
              <w:rPr/>
              <w:t>  </w:t>
            </w:r>
            <w:r>
              <w:rPr>
                <w:rFonts w:ascii="Times New Roman" w:hAnsi="Times New Roman"/>
                <w:sz w:val="20"/>
              </w:rPr>
              <w:t>Henry Ji</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Chairperson</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pPr>
            <w:r>
              <w:rPr/>
              <w:t>  </w:t>
            </w:r>
            <w:r>
              <w:rPr>
                <w:rFonts w:ascii="Times New Roman" w:hAnsi="Times New Roman"/>
                <w:sz w:val="20"/>
              </w:rPr>
              <w:t>Dorman Followwill</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pPr>
            <w:r>
              <w:rPr/>
              <w:t>  </w:t>
            </w:r>
            <w:r>
              <w:rPr>
                <w:rFonts w:ascii="Times New Roman" w:hAnsi="Times New Roman"/>
                <w:sz w:val="20"/>
              </w:rPr>
              <w:t>Yue Alexander Wu, Ph.D.</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pPr>
            <w:r>
              <w:rPr/>
              <w:t>  </w:t>
            </w:r>
            <w:r>
              <w:rPr>
                <w:rFonts w:ascii="Times New Roman" w:hAnsi="Times New Roman"/>
                <w:sz w:val="20"/>
              </w:rPr>
              <w:t>Jay Chun, M.D., Ph.D.</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pPr>
            <w:r>
              <w:rPr/>
              <w:t>  </w:t>
            </w:r>
            <w:r>
              <w:rPr>
                <w:rFonts w:ascii="Times New Roman" w:hAnsi="Times New Roman"/>
                <w:sz w:val="20"/>
              </w:rPr>
              <w:t>Annu Navani, M.D.</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December 19, 2025</w:t>
            </w:r>
          </w:p>
        </w:tc>
      </w:tr>
    </w:tbl>
    <w:tbl>
      <w:tblPr>
        <w:tblW w:w="1990" w:type="dxa"/>
        <w:jc w:val="left"/>
        <w:tblInd w:w="0" w:type="dxa"/>
        <w:tblLayout w:type="fixed"/>
        <w:tblCellMar>
          <w:top w:w="0" w:type="dxa"/>
          <w:left w:w="0" w:type="dxa"/>
          <w:bottom w:w="0" w:type="dxa"/>
          <w:right w:w="0" w:type="dxa"/>
        </w:tblCellMar>
      </w:tblPr>
      <w:tblGrid>
        <w:gridCol w:w="380"/>
        <w:gridCol w:w="60"/>
        <w:gridCol w:w="15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0" w:type="dxa"/>
            <w:tcBorders>
              <w:bottom w:val="single" w:sz="6" w:space="0" w:color="000000"/>
            </w:tcBorders>
            <w:tcMar>
              <w:bottom w:w="28" w:type="dxa"/>
            </w:tcMar>
            <w:vAlign w:val="center"/>
          </w:tcPr>
          <w:p>
            <w:pPr>
              <w:pStyle w:val="TableContents"/>
              <w:bidi w:val="0"/>
              <w:spacing w:before="0" w:after="283"/>
              <w:jc w:val="left"/>
              <w:rPr/>
            </w:pPr>
            <w:r>
              <w:rPr/>
              <w:t>/s/ Jaisim Shah</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Jaisim Shah</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p>
    <w:p>
      <w:pPr>
        <w:pStyle w:val="TextBody"/>
        <w:bidi w:val="0"/>
        <w:spacing w:before="0" w:after="0"/>
        <w:jc w:val="right"/>
        <w:rPr>
          <w:rFonts w:ascii="Times New Roman" w:hAnsi="Times New Roman"/>
          <w:b/>
          <w:sz w:val="20"/>
        </w:rPr>
      </w:pPr>
      <w:bookmarkStart w:id="25" w:name="d63562dex231.htm"/>
      <w:bookmarkStart w:id="26" w:name="ksd63562dex231"/>
      <w:bookmarkEnd w:id="25"/>
      <w:bookmarkEnd w:id="26"/>
      <w:r>
        <w:rPr>
          <w:rFonts w:ascii="Times New Roman" w:hAnsi="Times New Roman"/>
          <w:b/>
          <w:sz w:val="20"/>
        </w:rPr>
        <w:t xml:space="preserve">Exhibit 23.1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0"/>
        <w:gridCol w:w="120"/>
        <w:gridCol w:w="2868"/>
        <w:gridCol w:w="120"/>
        <w:gridCol w:w="3607"/>
      </w:tblGrid>
      <w:tr>
        <w:trPr/>
        <w:tc>
          <w:tcPr>
            <w:tcW w:w="3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3490" w:type="dxa"/>
            <w:tcBorders/>
          </w:tcPr>
          <w:p>
            <w:pPr>
              <w:pStyle w:val="TableContents"/>
              <w:bidi w:val="0"/>
              <w:spacing w:before="0" w:after="283"/>
              <w:jc w:val="left"/>
              <w:rPr/>
            </w:pPr>
            <w:r>
              <w:rPr/>
              <w:drawing>
                <wp:inline distT="0" distB="0" distL="0" distR="0">
                  <wp:extent cx="895350"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1"/>
                          <a:stretch>
                            <a:fillRect/>
                          </a:stretch>
                        </pic:blipFill>
                        <pic:spPr bwMode="auto">
                          <a:xfrm>
                            <a:off x="0" y="0"/>
                            <a:ext cx="895350" cy="9334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86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283"/>
              <w:jc w:val="right"/>
              <w:rPr/>
            </w:pPr>
            <w:r>
              <w:rPr/>
              <w:drawing>
                <wp:inline distT="0" distB="0" distL="0" distR="0">
                  <wp:extent cx="2066925" cy="657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2"/>
                          <a:stretch>
                            <a:fillRect/>
                          </a:stretch>
                        </pic:blipFill>
                        <pic:spPr bwMode="auto">
                          <a:xfrm>
                            <a:off x="0" y="0"/>
                            <a:ext cx="2066925" cy="6572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We hereby consent to the use in this Registration Statement on Form S-1 of Semnur Pharmaceuticals, Inc. (f/k/a Denali Capital Acquisition Corp.) of our report dated April 21, 2025, except for the effects of the reverse recapitalization described in Note 1 to the financial statements, as to which the date is September 22, 2025, relating to the financial statements of Semnur, Inc. (Legacy Semnur Pharmaceuticals, Inc.), which appears in this Registration Statement.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Pipara &amp; Co LLP </w:t>
      </w:r>
    </w:p>
    <w:p>
      <w:pPr>
        <w:pStyle w:val="TextBody"/>
        <w:bidi w:val="0"/>
        <w:spacing w:before="240" w:after="0"/>
        <w:jc w:val="left"/>
        <w:rPr>
          <w:rFonts w:ascii="Times New Roman" w:hAnsi="Times New Roman"/>
          <w:sz w:val="20"/>
        </w:rPr>
      </w:pPr>
      <w:r>
        <w:rPr>
          <w:rFonts w:ascii="Times New Roman" w:hAnsi="Times New Roman"/>
          <w:sz w:val="20"/>
        </w:rPr>
        <w:t xml:space="preserve">/s/ Pipara &amp; Co LLP </w:t>
      </w:r>
    </w:p>
    <w:p>
      <w:pPr>
        <w:pStyle w:val="TextBody"/>
        <w:bidi w:val="0"/>
        <w:spacing w:before="240" w:after="0"/>
        <w:jc w:val="left"/>
        <w:rPr>
          <w:rFonts w:ascii="Times New Roman" w:hAnsi="Times New Roman"/>
          <w:sz w:val="20"/>
        </w:rPr>
      </w:pPr>
      <w:r>
        <w:rPr>
          <w:rFonts w:ascii="Times New Roman" w:hAnsi="Times New Roman"/>
          <w:sz w:val="20"/>
        </w:rPr>
        <w:t xml:space="preserve">Delhi, India </w:t>
      </w:r>
    </w:p>
    <w:p>
      <w:pPr>
        <w:pStyle w:val="TextBody"/>
        <w:bidi w:val="0"/>
        <w:spacing w:before="0" w:after="0"/>
        <w:jc w:val="left"/>
        <w:rPr>
          <w:rFonts w:ascii="Times New Roman" w:hAnsi="Times New Roman"/>
          <w:sz w:val="20"/>
        </w:rPr>
      </w:pPr>
      <w:r>
        <w:rPr>
          <w:rFonts w:ascii="Times New Roman" w:hAnsi="Times New Roman"/>
          <w:sz w:val="20"/>
        </w:rPr>
        <w:t xml:space="preserve">December 19,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4010" w:type="dxa"/>
        <w:jc w:val="center"/>
        <w:tblInd w:w="0" w:type="dxa"/>
        <w:tblLayout w:type="fixed"/>
        <w:tblCellMar>
          <w:top w:w="0" w:type="dxa"/>
          <w:left w:w="0" w:type="dxa"/>
          <w:bottom w:w="0" w:type="dxa"/>
          <w:right w:w="0" w:type="dxa"/>
        </w:tblCellMar>
      </w:tblPr>
      <w:tblGrid>
        <w:gridCol w:w="2105"/>
        <w:gridCol w:w="120"/>
        <w:gridCol w:w="1970"/>
        <w:gridCol w:w="120"/>
        <w:gridCol w:w="1790"/>
        <w:gridCol w:w="120"/>
        <w:gridCol w:w="1805"/>
        <w:gridCol w:w="120"/>
        <w:gridCol w:w="2615"/>
        <w:gridCol w:w="120"/>
        <w:gridCol w:w="312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2105" w:type="dxa"/>
            <w:tcBorders/>
          </w:tcPr>
          <w:p>
            <w:pPr>
              <w:pStyle w:val="TableContents"/>
              <w:bidi w:val="0"/>
              <w:spacing w:before="0" w:after="0"/>
              <w:jc w:val="left"/>
              <w:rPr>
                <w:rFonts w:ascii="Times New Roman" w:hAnsi="Times New Roman"/>
                <w:sz w:val="16"/>
              </w:rPr>
            </w:pPr>
            <w:r>
              <w:rPr>
                <w:rFonts w:ascii="Times New Roman" w:hAnsi="Times New Roman"/>
                <w:b/>
                <w:sz w:val="16"/>
              </w:rPr>
              <w:t xml:space="preserve">New York Office: </w:t>
            </w:r>
            <w:r>
              <w:rPr>
                <w:rFonts w:ascii="Times New Roman" w:hAnsi="Times New Roman"/>
                <w:sz w:val="16"/>
              </w:rPr>
              <w:t>1270, Ave of Americas, Rockefeller Center, FL7</w:t>
            </w:r>
            <w:r>
              <w:rPr>
                <w:rFonts w:ascii="Times New Roman" w:hAnsi="Times New Roman"/>
                <w:b/>
                <w:sz w:val="16"/>
              </w:rPr>
              <w:t xml:space="preserve">, New York </w:t>
            </w:r>
            <w:r>
              <w:rPr>
                <w:rFonts w:ascii="Times New Roman" w:hAnsi="Times New Roman"/>
                <w:sz w:val="16"/>
              </w:rPr>
              <w:t xml:space="preserve">– 10020, </w:t>
            </w:r>
            <w:r>
              <w:rPr>
                <w:rFonts w:ascii="Times New Roman" w:hAnsi="Times New Roman"/>
                <w:b/>
                <w:sz w:val="16"/>
              </w:rPr>
              <w:t>USA</w:t>
            </w:r>
          </w:p>
          <w:p>
            <w:pPr>
              <w:pStyle w:val="TableContents"/>
              <w:bidi w:val="0"/>
              <w:spacing w:before="0" w:after="20"/>
              <w:jc w:val="left"/>
              <w:rPr>
                <w:rFonts w:ascii="Times New Roman" w:hAnsi="Times New Roman"/>
                <w:sz w:val="16"/>
              </w:rPr>
            </w:pPr>
            <w:r>
              <w:rPr>
                <w:rFonts w:ascii="Times New Roman" w:hAnsi="Times New Roman"/>
                <w:sz w:val="16"/>
              </w:rPr>
              <w:t>+1 (646) 387 - 2034</w:t>
            </w:r>
          </w:p>
        </w:tc>
        <w:tc>
          <w:tcPr>
            <w:tcW w:w="120" w:type="dxa"/>
            <w:tcBorders/>
            <w:vAlign w:val="bottom"/>
          </w:tcPr>
          <w:p>
            <w:pPr>
              <w:pStyle w:val="TableContents"/>
              <w:bidi w:val="0"/>
              <w:spacing w:before="0" w:after="283"/>
              <w:jc w:val="left"/>
              <w:rPr/>
            </w:pPr>
            <w:r>
              <w:rPr/>
              <w:t>  </w:t>
            </w:r>
          </w:p>
        </w:tc>
        <w:tc>
          <w:tcPr>
            <w:tcW w:w="1970" w:type="dxa"/>
            <w:tcBorders/>
          </w:tcPr>
          <w:p>
            <w:pPr>
              <w:pStyle w:val="TableContents"/>
              <w:bidi w:val="0"/>
              <w:spacing w:before="0" w:after="0"/>
              <w:jc w:val="left"/>
              <w:rPr>
                <w:rFonts w:ascii="Times New Roman" w:hAnsi="Times New Roman"/>
                <w:b/>
                <w:sz w:val="16"/>
              </w:rPr>
            </w:pPr>
            <w:r>
              <w:rPr>
                <w:rFonts w:ascii="Times New Roman" w:hAnsi="Times New Roman"/>
                <w:b/>
                <w:sz w:val="16"/>
              </w:rPr>
              <w:t>Corporate Office: “Pipara Corporate House”</w:t>
            </w:r>
          </w:p>
          <w:p>
            <w:pPr>
              <w:pStyle w:val="TableContents"/>
              <w:bidi w:val="0"/>
              <w:spacing w:before="0" w:after="20"/>
              <w:jc w:val="left"/>
              <w:rPr>
                <w:rFonts w:ascii="Times New Roman" w:hAnsi="Times New Roman"/>
                <w:sz w:val="16"/>
              </w:rPr>
            </w:pPr>
            <w:r>
              <w:rPr>
                <w:rFonts w:ascii="Times New Roman" w:hAnsi="Times New Roman"/>
                <w:sz w:val="16"/>
              </w:rPr>
              <w:t xml:space="preserve">Near Bandhan Bank Ltd., Netaji Marg, Law Garden, </w:t>
            </w:r>
            <w:r>
              <w:rPr>
                <w:rFonts w:ascii="Times New Roman" w:hAnsi="Times New Roman"/>
                <w:b/>
                <w:sz w:val="16"/>
              </w:rPr>
              <w:t xml:space="preserve">Ahmedabad </w:t>
            </w:r>
            <w:r>
              <w:rPr>
                <w:rFonts w:ascii="Times New Roman" w:hAnsi="Times New Roman"/>
                <w:sz w:val="16"/>
              </w:rPr>
              <w:t>- 380006</w:t>
            </w:r>
          </w:p>
        </w:tc>
        <w:tc>
          <w:tcPr>
            <w:tcW w:w="12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pPr>
            <w:r>
              <w:rPr>
                <w:b/>
              </w:rPr>
              <w:t xml:space="preserve">Dubai Office: </w:t>
            </w:r>
            <w:r>
              <w:rPr/>
              <w:t xml:space="preserve">1011, B-Block, Mazaya Centre, Sheikh Zayed Rd - Al Wasl - </w:t>
            </w:r>
            <w:r>
              <w:rPr>
                <w:b/>
              </w:rPr>
              <w:t xml:space="preserve">Dubai </w:t>
            </w:r>
            <w:r>
              <w:rPr/>
              <w:t xml:space="preserve">- </w:t>
            </w:r>
            <w:r>
              <w:rPr>
                <w:b/>
              </w:rPr>
              <w:t>UAE</w:t>
            </w:r>
          </w:p>
        </w:tc>
        <w:tc>
          <w:tcPr>
            <w:tcW w:w="120" w:type="dxa"/>
            <w:tcBorders/>
            <w:vAlign w:val="bottom"/>
          </w:tcPr>
          <w:p>
            <w:pPr>
              <w:pStyle w:val="TableContents"/>
              <w:bidi w:val="0"/>
              <w:spacing w:before="0" w:after="283"/>
              <w:jc w:val="left"/>
              <w:rPr/>
            </w:pPr>
            <w:r>
              <w:rPr/>
              <w:t>  </w:t>
            </w:r>
          </w:p>
        </w:tc>
        <w:tc>
          <w:tcPr>
            <w:tcW w:w="1805" w:type="dxa"/>
            <w:tcBorders/>
          </w:tcPr>
          <w:p>
            <w:pPr>
              <w:pStyle w:val="TableContents"/>
              <w:bidi w:val="0"/>
              <w:spacing w:before="0" w:after="0"/>
              <w:jc w:val="left"/>
              <w:rPr>
                <w:rFonts w:ascii="Times New Roman" w:hAnsi="Times New Roman"/>
                <w:b/>
                <w:sz w:val="16"/>
              </w:rPr>
            </w:pPr>
            <w:r>
              <w:rPr>
                <w:rFonts w:ascii="Times New Roman" w:hAnsi="Times New Roman"/>
                <w:b/>
                <w:sz w:val="16"/>
              </w:rPr>
              <w:t>Mumbai Office:</w:t>
            </w:r>
          </w:p>
          <w:p>
            <w:pPr>
              <w:pStyle w:val="TableContents"/>
              <w:bidi w:val="0"/>
              <w:spacing w:before="0" w:after="20"/>
              <w:jc w:val="left"/>
              <w:rPr>
                <w:rFonts w:ascii="Times New Roman" w:hAnsi="Times New Roman"/>
                <w:sz w:val="16"/>
              </w:rPr>
            </w:pPr>
            <w:r>
              <w:rPr>
                <w:rFonts w:ascii="Times New Roman" w:hAnsi="Times New Roman"/>
                <w:sz w:val="16"/>
              </w:rPr>
              <w:t xml:space="preserve">#3, 13th floor, Tradelink, ‘E’ Wing, A - Block, Kamala Mills, Senapati Bapat Marg, Lower Parel, </w:t>
            </w:r>
            <w:r>
              <w:rPr>
                <w:rFonts w:ascii="Times New Roman" w:hAnsi="Times New Roman"/>
                <w:b/>
                <w:sz w:val="16"/>
              </w:rPr>
              <w:t xml:space="preserve">Mumbai </w:t>
            </w:r>
            <w:r>
              <w:rPr>
                <w:rFonts w:ascii="Times New Roman" w:hAnsi="Times New Roman"/>
                <w:sz w:val="16"/>
              </w:rPr>
              <w:t>- 400013</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0"/>
              <w:jc w:val="left"/>
              <w:rPr>
                <w:rFonts w:ascii="Times New Roman" w:hAnsi="Times New Roman"/>
                <w:b/>
                <w:sz w:val="16"/>
              </w:rPr>
            </w:pPr>
            <w:r>
              <w:rPr>
                <w:rFonts w:ascii="Times New Roman" w:hAnsi="Times New Roman"/>
                <w:b/>
                <w:sz w:val="16"/>
              </w:rPr>
              <w:t>Delhi Office:</w:t>
            </w:r>
          </w:p>
          <w:p>
            <w:pPr>
              <w:pStyle w:val="TableContents"/>
              <w:bidi w:val="0"/>
              <w:spacing w:before="0" w:after="20"/>
              <w:jc w:val="left"/>
              <w:rPr>
                <w:rFonts w:ascii="Times New Roman" w:hAnsi="Times New Roman"/>
                <w:sz w:val="16"/>
              </w:rPr>
            </w:pPr>
            <w:r>
              <w:rPr>
                <w:rFonts w:ascii="Times New Roman" w:hAnsi="Times New Roman"/>
                <w:sz w:val="16"/>
              </w:rPr>
              <w:t xml:space="preserve">Green Park Desq Work, Gate No. 1, 49/1 Yusuf Sarai, Nr. Green Park Metro Station, </w:t>
            </w:r>
            <w:r>
              <w:rPr>
                <w:rFonts w:ascii="Times New Roman" w:hAnsi="Times New Roman"/>
                <w:b/>
                <w:sz w:val="16"/>
              </w:rPr>
              <w:t xml:space="preserve">Delhi - </w:t>
            </w:r>
            <w:r>
              <w:rPr>
                <w:rFonts w:ascii="Times New Roman" w:hAnsi="Times New Roman"/>
                <w:sz w:val="16"/>
              </w:rPr>
              <w:t>110016</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0"/>
              <w:jc w:val="left"/>
              <w:rPr>
                <w:rFonts w:ascii="Times New Roman" w:hAnsi="Times New Roman"/>
                <w:b/>
                <w:sz w:val="16"/>
              </w:rPr>
            </w:pPr>
            <w:r>
              <w:rPr>
                <w:rFonts w:ascii="Times New Roman" w:hAnsi="Times New Roman"/>
                <w:b/>
                <w:sz w:val="16"/>
              </w:rPr>
              <w:t>Hyderabad Office:</w:t>
            </w:r>
          </w:p>
          <w:p>
            <w:pPr>
              <w:pStyle w:val="TableContents"/>
              <w:bidi w:val="0"/>
              <w:spacing w:before="0" w:after="0"/>
              <w:jc w:val="left"/>
              <w:rPr>
                <w:rFonts w:ascii="Times New Roman" w:hAnsi="Times New Roman"/>
                <w:sz w:val="16"/>
              </w:rPr>
            </w:pPr>
            <w:r>
              <w:rPr>
                <w:rFonts w:ascii="Times New Roman" w:hAnsi="Times New Roman"/>
                <w:sz w:val="16"/>
              </w:rPr>
              <w:t>509, Sandhya Techno - 1,</w:t>
            </w:r>
          </w:p>
          <w:p>
            <w:pPr>
              <w:pStyle w:val="TableContents"/>
              <w:bidi w:val="0"/>
              <w:spacing w:before="0" w:after="20"/>
              <w:jc w:val="left"/>
              <w:rPr>
                <w:rFonts w:ascii="Times New Roman" w:hAnsi="Times New Roman"/>
                <w:sz w:val="16"/>
              </w:rPr>
            </w:pPr>
            <w:r>
              <w:rPr>
                <w:rFonts w:ascii="Times New Roman" w:hAnsi="Times New Roman"/>
                <w:sz w:val="16"/>
              </w:rPr>
              <w:t>Opp. KIMS Hospital, Raidurgam, Hyderabad Telangana, India, 500036</w:t>
            </w:r>
          </w:p>
        </w:tc>
      </w:tr>
      <w:tr>
        <w:trPr/>
        <w:tc>
          <w:tcPr>
            <w:tcW w:w="2105" w:type="dxa"/>
            <w:tcBorders/>
          </w:tcPr>
          <w:p>
            <w:pPr>
              <w:pStyle w:val="TableContents"/>
              <w:bidi w:val="0"/>
              <w:spacing w:before="0" w:after="283"/>
              <w:jc w:val="left"/>
              <w:rPr>
                <w:b/>
              </w:rPr>
            </w:pPr>
            <w:r>
              <w:rPr>
                <w:b/>
              </w:rPr>
              <w:t>naman@pipara.com</w:t>
            </w:r>
          </w:p>
        </w:tc>
        <w:tc>
          <w:tcPr>
            <w:tcW w:w="120" w:type="dxa"/>
            <w:tcBorders/>
            <w:vAlign w:val="bottom"/>
          </w:tcPr>
          <w:p>
            <w:pPr>
              <w:pStyle w:val="TableContents"/>
              <w:bidi w:val="0"/>
              <w:spacing w:before="0" w:after="283"/>
              <w:jc w:val="left"/>
              <w:rPr/>
            </w:pPr>
            <w:r>
              <w:rPr/>
              <w:t>  </w:t>
            </w:r>
          </w:p>
        </w:tc>
        <w:tc>
          <w:tcPr>
            <w:tcW w:w="1970" w:type="dxa"/>
            <w:tcBorders/>
          </w:tcPr>
          <w:p>
            <w:pPr>
              <w:pStyle w:val="TableContents"/>
              <w:bidi w:val="0"/>
              <w:spacing w:before="0" w:after="283"/>
              <w:jc w:val="left"/>
              <w:rPr>
                <w:b/>
              </w:rPr>
            </w:pPr>
            <w:r>
              <w:rPr>
                <w:b/>
              </w:rPr>
              <w:t>T: + 91 79 40 370370</w:t>
            </w:r>
          </w:p>
        </w:tc>
        <w:tc>
          <w:tcPr>
            <w:tcW w:w="120" w:type="dxa"/>
            <w:tcBorders/>
            <w:vAlign w:val="bottom"/>
          </w:tcPr>
          <w:p>
            <w:pPr>
              <w:pStyle w:val="TableContents"/>
              <w:bidi w:val="0"/>
              <w:spacing w:before="0" w:after="283"/>
              <w:jc w:val="left"/>
              <w:rPr/>
            </w:pPr>
            <w:r>
              <w:rPr/>
              <w:t>  </w:t>
            </w:r>
          </w:p>
        </w:tc>
        <w:tc>
          <w:tcPr>
            <w:tcW w:w="1790" w:type="dxa"/>
            <w:tcBorders/>
          </w:tcPr>
          <w:p>
            <w:pPr>
              <w:pStyle w:val="TableContents"/>
              <w:bidi w:val="0"/>
              <w:spacing w:before="0" w:after="283"/>
              <w:jc w:val="left"/>
              <w:rPr>
                <w:b/>
              </w:rPr>
            </w:pPr>
            <w:r>
              <w:rPr>
                <w:b/>
              </w:rPr>
              <w:t>info@pipara.com</w:t>
            </w:r>
          </w:p>
        </w:tc>
        <w:tc>
          <w:tcPr>
            <w:tcW w:w="120" w:type="dxa"/>
            <w:tcBorders/>
            <w:vAlign w:val="bottom"/>
          </w:tcPr>
          <w:p>
            <w:pPr>
              <w:pStyle w:val="TableContents"/>
              <w:bidi w:val="0"/>
              <w:spacing w:before="0" w:after="283"/>
              <w:jc w:val="left"/>
              <w:rPr/>
            </w:pPr>
            <w:r>
              <w:rPr/>
              <w:t>  </w:t>
            </w:r>
          </w:p>
        </w:tc>
        <w:tc>
          <w:tcPr>
            <w:tcW w:w="1805" w:type="dxa"/>
            <w:tcBorders/>
          </w:tcPr>
          <w:p>
            <w:pPr>
              <w:pStyle w:val="TableContents"/>
              <w:bidi w:val="0"/>
              <w:spacing w:before="0" w:after="283"/>
              <w:jc w:val="left"/>
              <w:rPr>
                <w:b/>
              </w:rPr>
            </w:pPr>
            <w:r>
              <w:rPr>
                <w:b/>
              </w:rPr>
              <w:t>E: pipara@pipara.com</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b/>
              </w:rPr>
            </w:pPr>
            <w:r>
              <w:rPr>
                <w:b/>
              </w:rPr>
              <w:t>chintan.jain@pipara.com</w:t>
            </w:r>
          </w:p>
        </w:tc>
        <w:tc>
          <w:tcPr>
            <w:tcW w:w="120" w:type="dxa"/>
            <w:tcBorders/>
            <w:vAlign w:val="bottom"/>
          </w:tcPr>
          <w:p>
            <w:pPr>
              <w:pStyle w:val="TableContents"/>
              <w:bidi w:val="0"/>
              <w:spacing w:before="0" w:after="283"/>
              <w:jc w:val="left"/>
              <w:rPr/>
            </w:pPr>
            <w:r>
              <w:rPr/>
              <w:t>  </w:t>
            </w:r>
          </w:p>
        </w:tc>
        <w:tc>
          <w:tcPr>
            <w:tcW w:w="3125" w:type="dxa"/>
            <w:tcBorders/>
          </w:tcPr>
          <w:p>
            <w:pPr>
              <w:pStyle w:val="TableContents"/>
              <w:bidi w:val="0"/>
              <w:spacing w:before="0" w:after="283"/>
              <w:jc w:val="left"/>
              <w:rPr>
                <w:b/>
              </w:rPr>
            </w:pPr>
            <w:r>
              <w:rPr>
                <w:b/>
              </w:rPr>
              <w:t>sharyansh.ranka@pipara.com</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84541/000119312525087342/d887184dex21.htm" TargetMode="External"/><Relationship Id="rId4" Type="http://schemas.openxmlformats.org/officeDocument/2006/relationships/hyperlink" Target="http://www.sec.gov/Archives/edgar/data/1584541/000119312525087342/d887184dex22.htm" TargetMode="External"/><Relationship Id="rId5" Type="http://schemas.openxmlformats.org/officeDocument/2006/relationships/hyperlink" Target="http://www.sec.gov/Archives/edgar/data/1913577/000119312525220455/d68253dex31.htm" TargetMode="External"/><Relationship Id="rId6" Type="http://schemas.openxmlformats.org/officeDocument/2006/relationships/hyperlink" Target="http://www.sec.gov/Archives/edgar/data/1913577/000119312525220455/d68253dex32.htm" TargetMode="External"/><Relationship Id="rId7" Type="http://schemas.openxmlformats.org/officeDocument/2006/relationships/hyperlink" Target="http://www.sec.gov/Archives/edgar/data/1913577/000119312525220455/d68253dex33.htm" TargetMode="External"/><Relationship Id="rId8" Type="http://schemas.openxmlformats.org/officeDocument/2006/relationships/hyperlink" Target="http://www.sec.gov/Archives/edgar/data/1913577/000121390025032299/ea023848801ex3-1_denali.htm" TargetMode="External"/><Relationship Id="rId9" Type="http://schemas.openxmlformats.org/officeDocument/2006/relationships/hyperlink" Target="http://www.sec.gov/Archives/edgar/data/1913577/000157587222000181/sa001_ex4-3.htm" TargetMode="External"/><Relationship Id="rId10" Type="http://schemas.openxmlformats.org/officeDocument/2006/relationships/hyperlink" Target="http://www.sec.gov/Archives/edgar/data/1913577/000157587222000269/sa016_ex4-1.htm" TargetMode="External"/><Relationship Id="rId11" Type="http://schemas.openxmlformats.org/officeDocument/2006/relationships/hyperlink" Target="http://www.sec.gov/Archives/edgar/data/1913577/000119312525245178/d63562dex51.htm" TargetMode="External"/><Relationship Id="rId12" Type="http://schemas.openxmlformats.org/officeDocument/2006/relationships/hyperlink" Target="http://www.sec.gov/Archives/edgar/data/1913577/000157587222000269/sa016_ex10-5.htm" TargetMode="External"/><Relationship Id="rId13" Type="http://schemas.openxmlformats.org/officeDocument/2006/relationships/hyperlink" Target="http://www.sec.gov/Archives/edgar/data/1913577/000119312525087342/d887184dex1017.htm" TargetMode="External"/><Relationship Id="rId14" Type="http://schemas.openxmlformats.org/officeDocument/2006/relationships/hyperlink" Target="http://www.sec.gov/Archives/edgar/data/1913577/000119312525220455/d68253dex102.htm" TargetMode="External"/><Relationship Id="rId15" Type="http://schemas.openxmlformats.org/officeDocument/2006/relationships/hyperlink" Target="http://www.sec.gov/Archives/edgar/data/1913577/000119312525087342/d887184dex1011.htm" TargetMode="External"/><Relationship Id="rId16" Type="http://schemas.openxmlformats.org/officeDocument/2006/relationships/hyperlink" Target="http://www.sec.gov/Archives/edgar/data/1584541/000119312525087342/d887184dex1012.htm" TargetMode="External"/><Relationship Id="rId17" Type="http://schemas.openxmlformats.org/officeDocument/2006/relationships/hyperlink" Target="http://www.sec.gov/Archives/edgar/data/1584541/000119312525087342/d887184dex1013.htm" TargetMode="External"/><Relationship Id="rId18" Type="http://schemas.openxmlformats.org/officeDocument/2006/relationships/hyperlink" Target="http://www.sec.gov/Archives/edgar/data/1913577/000121390024075736/ea021318602ex10-3_denali.htm" TargetMode="External"/><Relationship Id="rId19" Type="http://schemas.openxmlformats.org/officeDocument/2006/relationships/hyperlink" Target="http://www.sec.gov/Archives/edgar/data/1584541/000119312525087342/d887184dex1019.htm" TargetMode="External"/><Relationship Id="rId20" Type="http://schemas.openxmlformats.org/officeDocument/2006/relationships/hyperlink" Target="http://www.sec.gov/Archives/edgar/data/1584541/000119312525087342/d887184dex1020.htm" TargetMode="External"/><Relationship Id="rId21" Type="http://schemas.openxmlformats.org/officeDocument/2006/relationships/hyperlink" Target="http://www.sec.gov/Archives/edgar/data/1584541/000119312525087342/d887184dex1021.htm" TargetMode="External"/><Relationship Id="rId22" Type="http://schemas.openxmlformats.org/officeDocument/2006/relationships/hyperlink" Target="http://www.sec.gov/Archives/edgar/data/1584541/000119312525087342/d887184dex1022.htm" TargetMode="External"/><Relationship Id="rId23" Type="http://schemas.openxmlformats.org/officeDocument/2006/relationships/hyperlink" Target="http://www.sec.gov/Archives/edgar/data/1584541/000119312525087342/d887184dex1023.htm" TargetMode="External"/><Relationship Id="rId24" Type="http://schemas.openxmlformats.org/officeDocument/2006/relationships/hyperlink" Target="http://www.sec.gov/Archives/edgar/data/1584541/000119312525163401/d887184dex10231.htm" TargetMode="External"/><Relationship Id="rId25" Type="http://schemas.openxmlformats.org/officeDocument/2006/relationships/hyperlink" Target="http://www.sec.gov/Archives/edgar/data/1584541/000119312525087342/d887184dex1024.htm" TargetMode="External"/><Relationship Id="rId26" Type="http://schemas.openxmlformats.org/officeDocument/2006/relationships/hyperlink" Target="http://www.sec.gov/Archives/edgar/data/1584541/000119312525163401/d887184dex10241.htm" TargetMode="External"/><Relationship Id="rId27" Type="http://schemas.openxmlformats.org/officeDocument/2006/relationships/hyperlink" Target="http://www.sec.gov/Archives/edgar/data/1913577/000119312525245178/d63562dex1014.htm" TargetMode="External"/><Relationship Id="rId28" Type="http://schemas.openxmlformats.org/officeDocument/2006/relationships/hyperlink" Target="http://www.sec.gov/Archives/edgar/data/1584541/000119312525163401/d887184dex1027.htm" TargetMode="External"/><Relationship Id="rId29" Type="http://schemas.openxmlformats.org/officeDocument/2006/relationships/hyperlink" Target="http://www.sec.gov/Archives/edgar/data/1584541/000119312525163401/d887184dex1028.htm" TargetMode="External"/><Relationship Id="rId30" Type="http://schemas.openxmlformats.org/officeDocument/2006/relationships/hyperlink" Target="http://www.sec.gov/Archives/edgar/data/1584541/000119312525163401/d887184dex1029.htm" TargetMode="External"/><Relationship Id="rId31" Type="http://schemas.openxmlformats.org/officeDocument/2006/relationships/hyperlink" Target="http://www.sec.gov/Archives/edgar/data/1913577/000119312525220455/d68253dex109.htm" TargetMode="External"/><Relationship Id="rId32" Type="http://schemas.openxmlformats.org/officeDocument/2006/relationships/hyperlink" Target="http://www.sec.gov/Archives/edgar/data/1913577/000119312525220455/d68253dex1010.htm" TargetMode="External"/><Relationship Id="rId33" Type="http://schemas.openxmlformats.org/officeDocument/2006/relationships/hyperlink" Target="http://www.sec.gov/Archives/edgar/data/1913577/000121390025079504/ea025423601ex10-1_denali.htm" TargetMode="External"/><Relationship Id="rId34" Type="http://schemas.openxmlformats.org/officeDocument/2006/relationships/hyperlink" Target="http://www.sec.gov/Archives/edgar/data/1913577/000119312525220455/d68253dex105.htm" TargetMode="External"/><Relationship Id="rId35" Type="http://schemas.openxmlformats.org/officeDocument/2006/relationships/hyperlink" Target="http://www.sec.gov/Archives/edgar/data/1913577/000119312525220455/d68253dex106.htm" TargetMode="External"/><Relationship Id="rId36" Type="http://schemas.openxmlformats.org/officeDocument/2006/relationships/hyperlink" Target="http://www.sec.gov/Archives/edgar/data/1913577/000119312525220455/d68253dex107.htm" TargetMode="External"/><Relationship Id="rId37" Type="http://schemas.openxmlformats.org/officeDocument/2006/relationships/hyperlink" Target="http://www.sec.gov/Archives/edgar/data/1913577/000119312525220455/d68253dex108.htm" TargetMode="External"/><Relationship Id="rId38" Type="http://schemas.openxmlformats.org/officeDocument/2006/relationships/hyperlink" Target="http://www.sec.gov/Archives/edgar/data/1913577/000119312525220455/d68253dex109.htm" TargetMode="External"/><Relationship Id="rId39" Type="http://schemas.openxmlformats.org/officeDocument/2006/relationships/hyperlink" Target="http://www.sec.gov/Archives/edgar/data/1913577/000119312525220455/d68253dex1010.htm" TargetMode="External"/><Relationship Id="rId40" Type="http://schemas.openxmlformats.org/officeDocument/2006/relationships/hyperlink" Target="http://www.sec.gov/Archives/edgar/data/1913577/000119312525220455/d68253dex1011.htm" TargetMode="External"/><Relationship Id="rId41" Type="http://schemas.openxmlformats.org/officeDocument/2006/relationships/hyperlink" Target="http://www.sec.gov/Archives/edgar/data/1913577/000119312525220455/d68253dex1012.htm" TargetMode="External"/><Relationship Id="rId42" Type="http://schemas.openxmlformats.org/officeDocument/2006/relationships/hyperlink" Target="http://www.sec.gov/Archives/edgar/data/1913577/000119312525220455/d68253dex1013.htm" TargetMode="External"/><Relationship Id="rId43" Type="http://schemas.openxmlformats.org/officeDocument/2006/relationships/hyperlink" Target="http://www.sec.gov/Archives/edgar/data/1913577/000119312525220455/d68253dex1014.htm" TargetMode="External"/><Relationship Id="rId44" Type="http://schemas.openxmlformats.org/officeDocument/2006/relationships/hyperlink" Target="http://www.sec.gov/Archives/edgar/data/1913577/000119312525220455/d68253dex1015.htm" TargetMode="External"/><Relationship Id="rId45" Type="http://schemas.openxmlformats.org/officeDocument/2006/relationships/hyperlink" Target="http://www.sec.gov/Archives/edgar/data/1913577/000119312525220455/d68253dex1016.htm" TargetMode="External"/><Relationship Id="rId46" Type="http://schemas.openxmlformats.org/officeDocument/2006/relationships/hyperlink" Target="http://www.sec.gov/Archives/edgar/data/1913577/000119312525220455/d68253dex1017.htm" TargetMode="External"/><Relationship Id="rId47" Type="http://schemas.openxmlformats.org/officeDocument/2006/relationships/hyperlink" Target="http://www.sec.gov/Archives/edgar/data/1913577/000121390024075736/ea021318602ex10-2_denali.htm" TargetMode="External"/><Relationship Id="rId48" Type="http://schemas.openxmlformats.org/officeDocument/2006/relationships/hyperlink" Target="http://www.sec.gov/Archives/edgar/data/1913577/000119312525220455/d68253dex211.htm" TargetMode="External"/><Relationship Id="rId49" Type="http://schemas.openxmlformats.org/officeDocument/2006/relationships/hyperlink" Target="http://www.sec.gov/Archives/edgar/data/1913577/000119312525245178/d63562dex51.htm" TargetMode="External"/><Relationship Id="rId50" Type="http://schemas.openxmlformats.org/officeDocument/2006/relationships/hyperlink" Target="http://www.sec.gov/Archives/edgar/data/../../../ix?doc=/Archives/edgar/data/1913577/000119312525245178/d63562dexfilingfees.htm" TargetMode="External"/><Relationship Id="rId51" Type="http://schemas.openxmlformats.org/officeDocument/2006/relationships/image" Target="media/image2.jpeg"/><Relationship Id="rId52" Type="http://schemas.openxmlformats.org/officeDocument/2006/relationships/image" Target="media/image3.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222</Pages>
  <Words>158299</Words>
  <Characters>874146</Characters>
  <CharactersWithSpaces>1037564</CharactersWithSpaces>
  <Paragraphs>12492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