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Scilex Holding Co</w:t>
              </w:r>
            </w:hyperlink>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Semnur Pharmaceuticals,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SMNR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20" w:type="dxa"/>
            <w:vAlign w:val="bottom"/>
            <w:tcBorders>
              <w:top w:val="single" w:sz="8" w:color="0000EE"/>
            </w:tcBorders>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42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tcBorders>
              <w:top w:val="single" w:sz="8" w:color="EEEEEE"/>
            </w:tcBorders>
            <w:vMerge w:val="restart"/>
          </w:tcPr>
          <w:p>
            <w:pPr>
              <w:ind w:left="4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27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70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960 SAN ANTONIO RD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20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0"/>
          <w:szCs w:val="20"/>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2"/>
          </w:tcPr>
          <w:p>
            <w:pPr>
              <w:ind w:left="32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920" w:type="dxa"/>
            <w:vAlign w:val="bottom"/>
            <w:gridSpan w:val="6"/>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gridSpan w:val="3"/>
            <w:vMerge w:val="restart"/>
          </w:tcPr>
          <w:p>
            <w:pPr>
              <w:jc w:val="right"/>
              <w:ind w:right="40"/>
              <w:spacing w:after="0"/>
              <w:rPr>
                <w:sz w:val="20"/>
                <w:szCs w:val="20"/>
                <w:color w:val="auto"/>
              </w:rPr>
            </w:pPr>
            <w:r>
              <w:rPr>
                <w:rFonts w:ascii="Arial" w:cs="Arial" w:eastAsia="Arial" w:hAnsi="Arial"/>
                <w:sz w:val="12"/>
                <w:szCs w:val="12"/>
                <w:b w:val="1"/>
                <w:bCs w:val="1"/>
                <w:color w:val="auto"/>
                <w:w w:val="95"/>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4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06/15/2026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(1)(2)</w:t>
            </w:r>
          </w:p>
        </w:tc>
        <w:tc>
          <w:tcPr>
            <w:tcW w:w="124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17"/>
                <w:szCs w:val="17"/>
                <w:color w:val="0000FF"/>
              </w:rPr>
              <w:t>7,034,737</w:t>
            </w:r>
            <w:r>
              <w:rPr>
                <w:rFonts w:ascii="Times New Roman" w:cs="Times New Roman" w:eastAsia="Times New Roman" w:hAnsi="Times New Roman"/>
                <w:sz w:val="22"/>
                <w:szCs w:val="22"/>
                <w:color w:val="008000"/>
                <w:vertAlign w:val="superscript"/>
              </w:rPr>
              <w:t>(1)(2)</w:t>
            </w:r>
          </w:p>
        </w:tc>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gridSpan w:val="3"/>
          </w:tcPr>
          <w:p>
            <w:pPr>
              <w:jc w:val="center"/>
              <w:ind w:left="69"/>
              <w:spacing w:after="0"/>
              <w:rPr>
                <w:sz w:val="20"/>
                <w:szCs w:val="20"/>
                <w:color w:val="auto"/>
              </w:rPr>
            </w:pPr>
            <w:r>
              <w:rPr>
                <w:rFonts w:ascii="Times New Roman" w:cs="Times New Roman" w:eastAsia="Times New Roman" w:hAnsi="Times New Roman"/>
                <w:sz w:val="17"/>
                <w:szCs w:val="17"/>
                <w:color w:val="0000FF"/>
              </w:rPr>
              <w:t>174,770,112</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Scilex,</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Inc.</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gridSpan w:val="3"/>
          </w:tcPr>
          <w:p>
            <w:pPr>
              <w:jc w:val="center"/>
              <w:ind w:left="49"/>
              <w:spacing w:after="0"/>
              <w:rPr>
                <w:sz w:val="20"/>
                <w:szCs w:val="20"/>
                <w:color w:val="auto"/>
              </w:rPr>
            </w:pPr>
            <w:r>
              <w:rPr>
                <w:rFonts w:ascii="Times New Roman" w:cs="Times New Roman" w:eastAsia="Times New Roman" w:hAnsi="Times New Roman"/>
                <w:sz w:val="17"/>
                <w:szCs w:val="17"/>
                <w:color w:val="0000FF"/>
              </w:rPr>
              <w:t>500,000</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center"/>
              <w:ind w:left="69"/>
              <w:spacing w:after="0"/>
              <w:rPr>
                <w:sz w:val="20"/>
                <w:szCs w:val="20"/>
                <w:color w:val="auto"/>
              </w:rPr>
            </w:pPr>
            <w:r>
              <w:rPr>
                <w:rFonts w:ascii="Times New Roman" w:cs="Times New Roman" w:eastAsia="Times New Roman" w:hAnsi="Times New Roman"/>
                <w:sz w:val="17"/>
                <w:szCs w:val="17"/>
                <w:color w:val="0000FF"/>
              </w:rPr>
              <w:t>6,250,000</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Scilex</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Bio, Inc.</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2680" w:type="dxa"/>
            <w:vAlign w:val="bottom"/>
            <w:tcBorders>
              <w:bottom w:val="single" w:sz="8" w:color="2C2C2C"/>
            </w:tcBorders>
            <w:gridSpan w:val="8"/>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62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60" w:type="dxa"/>
            <w:vAlign w:val="bottom"/>
            <w:gridSpan w:val="16"/>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4"/>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Scilex Holding Co</w:t>
              </w:r>
            </w:hyperlink>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960 SAN ANTONIO RD</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PALO ALTO</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94303</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Scilex, Inc.</w:t>
              </w:r>
            </w:hyperlink>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-4100195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960 SAN ANTONIO RD</w:t>
      </w: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PALO ALTO</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7"/>
          <w:szCs w:val="17"/>
          <w:color w:val="0000FF"/>
        </w:rPr>
        <w:t>94303</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92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292100"/>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48"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2026, the Reporting Person paid its previously announced stock dividend (the "Dividend") consisting of an aggregate of 13,972,900 shares of common stock of Semnur Pharmaceuticals, Inc. ("Semnur") held by the Reporting Person (the "Dividend Shares") to record holders of (i) the Reporting Person's common stock, (ii) certain warrants to purchase the Reporting Person's common stock and (iii) certain notes convertible into shares of the Reporting Person's common stock as of June 1, 2026 (the "Record Date" and the holders referenced in clauses (ii) and (iii), the "Additional Participating Holders").</w:t>
      </w:r>
    </w:p>
    <w:p>
      <w:pPr>
        <w:spacing w:after="0" w:line="176"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 aggregate of 6,938,163 Dividend Shares are being held in abeyance by the Reporting Person for the benefit of the Additional Participating Holders who may be entitled to such shares pursuant to the terms of the applicable warrants and convertible notes following the exercise or conversion thereof, and at the time such shares are distributed to the applicable warrantholders and noteholders, the Reporting Person will file a Form 4 reporting such distribution.</w:t>
      </w:r>
    </w:p>
    <w:p>
      <w:pPr>
        <w:sectPr>
          <w:pgSz w:w="11900" w:h="16838" w:orient="portrait"/>
          <w:cols w:equalWidth="0" w:num="1">
            <w:col w:w="10880"/>
          </w:cols>
          <w:pgMar w:left="500" w:top="300" w:right="519" w:bottom="1440"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Henry Ji, Scilex 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249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Company,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74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1874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0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378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378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Henry Ji, Scilex, Inc.,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95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90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095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8700" w:space="40"/>
            <w:col w:w="2140"/>
          </w:cols>
          <w:pgMar w:left="500" w:top="300" w:right="5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300"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13" Type="http://schemas.openxmlformats.org/officeDocument/2006/relationships/hyperlink" Target="http://www.sec.gov/cgi-bin/browse-edgar?action=getcompany&amp;CIK=0001820190" TargetMode="External"/><Relationship Id="rId14" Type="http://schemas.openxmlformats.org/officeDocument/2006/relationships/hyperlink" Target="http://www.sec.gov/cgi-bin/browse-edgar?action=getcompany&amp;CIK=0001913577" TargetMode="External"/><Relationship Id="rId16" Type="http://schemas.openxmlformats.org/officeDocument/2006/relationships/hyperlink" Target="http://www.sec.gov/cgi-bin/browse-edgar?action=getcompany&amp;CIK=00020846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2026-06-26T16:44:32Z</dcterms:created>
  <dcterms:modified xsi:type="dcterms:W3CDTF">2026-06-26T16:44:32Z</dcterms:modified>
</cp:coreProperties>
</file>