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28"/>
        </w:rPr>
      </w:pPr>
      <w:bookmarkStart w:id="0" w:name="smnr-20260703.htm"/>
      <w:bookmarkStart w:id="1" w:name="kssmnr20260703"/>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3, 2026</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98-1659463</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960 San Antonio Road, Palo Alto, California, 94303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(650) 422-7515</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160" w:after="283"/>
        <w:jc w:val="left"/>
        <w:rPr/>
      </w:pPr>
      <w:r>
        <w:rPr>
          <w:color w:val="000000"/>
        </w:rPr>
        <w:t xml:space="preserve">☐ </w:t>
      </w:r>
      <w:r>
        <w:rPr>
          <w:rFonts w:ascii="Times New Roman" w:hAnsi="Times New Roman"/>
          <w:color w:val="000000"/>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219"/>
        <w:gridCol w:w="109"/>
        <w:gridCol w:w="856"/>
        <w:gridCol w:w="109"/>
        <w:gridCol w:w="1912"/>
      </w:tblGrid>
      <w:tr>
        <w:trPr/>
        <w:tc>
          <w:tcPr>
            <w:tcW w:w="7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721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to purchase one share of common stock, each at an exercise price of $11.50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3, 2026, Semnur Pharmaceuticals, Inc. (“the Company”) and iHolding Group LLP, a private investment group headquartered in Almaty, Republic of Kazakhstan (“iHolding”), entered into a binding term sheet (the “Term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Sheet contemplates that iHolding will purchase $100,000,000 (the “Proposed Investment”) of newly issued shares of Company common stock, par value $0.0001 per share (the “Company Common Stock”). The purchase price for such shares is expected to be $10.00 per share, which would represent approximately 10,000,000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Investment remains subject to completion of customary due diligence, the parties’ negotiation and execution of definitive agreements (the “Definitive Agreements”), board approvals, and other customary closing conditions, including receipt of the approval of the Company’s stockholders and any required regulatory approvals.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the Definitive Agreements and any other transaction documents necessary to consummate the Proposed Investment will be entered into, or that the Proposed Investment will be consummated on the terms described herein or at all. The consummation of the Proposed Investment is subject to numerous factors, many of which are outside the control of the Company, including market conditions, regulatory approvals, the actions of third parties, and the ability of the parties to negotiate and execute the Definitive Agreements. The Term Sheet reflects terms that remain subject to further negotiation, modification and/or approval by the applicable boards of directors and may be terminated by the parties. Any such termination, or a failure by the parties to agree on the Definitive Agreements, could result in disputes or litigation relating to the interpretation, enforceability and/or performance of the provisions of the Term Sheet, which could be costly and/or time-consuming, divert management attention and/or otherwise adversely affect the financial condition or liquidity of the Company, including its ability to pursue or defend such claims. Accordingly, investors should not place undue reliance on the consummation of the Proposed Investment or the ability of the Company and iHolding to consummate the Proposed Investment.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Term Sheet does not purport to be complete and is qualified in its entirety by reference to the full text of the Term Sheet, a copy of which the Company will file as an exhibit to its Quarterly Report on Form 10-Q for the quarter ending June 30, 2026 or by an amendment to this Current Report on Form 8-K.</w:t>
      </w:r>
    </w:p>
    <w:p>
      <w:pPr>
        <w:pStyle w:val="TextBody"/>
        <w:bidi w:val="0"/>
        <w:jc w:val="both"/>
        <w:rPr/>
      </w:pPr>
      <w:r>
        <w:rPr/>
        <w:t> </w:t>
      </w:r>
    </w:p>
    <w:tbl>
      <w:tblPr>
        <w:tblW w:w="4472" w:type="dxa"/>
        <w:jc w:val="left"/>
        <w:tblInd w:w="0" w:type="dxa"/>
        <w:tblLayout w:type="fixed"/>
        <w:tblCellMar>
          <w:top w:w="28" w:type="dxa"/>
          <w:left w:w="28" w:type="dxa"/>
          <w:bottom w:w="28" w:type="dxa"/>
          <w:right w:w="28" w:type="dxa"/>
        </w:tblCellMar>
      </w:tblPr>
      <w:tblGrid>
        <w:gridCol w:w="961"/>
        <w:gridCol w:w="3511"/>
      </w:tblGrid>
      <w:tr>
        <w:trPr/>
        <w:tc>
          <w:tcPr>
            <w:tcW w:w="96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Item 3.02.</w:t>
            </w:r>
          </w:p>
        </w:tc>
        <w:tc>
          <w:tcPr>
            <w:tcW w:w="35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provided in Item 1.01 regarding the Term Sheet and the potential issuance of shares of Company Common Stock is hereby incorporated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has not yet been determined whether the shares of Company Common Stock that may be issued in the Proposed Investment will be issued in a private placement. If such shares are issued in a private placement, the Company expects that (i) such shares would be issued to iHolding in a transaction exempt from registration under the Securities Act of 1933, as amended, in reliance on Section 4(a)(2) thereof and Rule 506 of Regulation D (or other applicable exemption) thereunder and (ii) iHolding will represent that it is an “accredited investor,” as defined in Regulation D, and will acquire such shares for investment only and not with a view towards, or for resale in connection with, the public sale or distribution thereof. Neither this Current Report on Form 8-K nor the Term Sheet is an offer to sell or the solicitation of an offer to buy shares of Company Common Stock or any other securities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July 7, 2026, the Company issued a press release announcing the execution of the Term Sheet. A copy of the press release is attached as Exhibit 99.1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9392" w:type="dxa"/>
        <w:jc w:val="left"/>
        <w:tblInd w:w="0" w:type="dxa"/>
        <w:tblLayout w:type="fixed"/>
        <w:tblCellMar>
          <w:top w:w="28" w:type="dxa"/>
          <w:left w:w="28" w:type="dxa"/>
          <w:bottom w:w="28" w:type="dxa"/>
          <w:right w:w="28" w:type="dxa"/>
        </w:tblCellMar>
      </w:tblPr>
      <w:tblGrid>
        <w:gridCol w:w="811"/>
        <w:gridCol w:w="8581"/>
      </w:tblGrid>
      <w:tr>
        <w:trPr/>
        <w:tc>
          <w:tcPr>
            <w:tcW w:w="81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85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99.1</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smnr-ex99_1.htm">
              <w:r>
                <w:rPr>
                  <w:rStyle w:val="InternetLink"/>
                  <w:rFonts w:ascii="Times New Roman" w:hAnsi="Times New Roman"/>
                  <w:color w:val="0000FF"/>
                  <w:sz w:val="20"/>
                  <w:u w:val="single"/>
                </w:rPr>
                <w:t>Press release dated July 7, 2026.</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SEMNUR PHARMACEUTICALS, INC.</w:t>
      </w:r>
    </w:p>
    <w:p>
      <w:pPr>
        <w:pStyle w:val="TextBody"/>
        <w:bidi w:val="0"/>
        <w:spacing w:before="0" w:after="24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Henry Ji </w:t>
      </w:r>
      <w:r>
        <w:rPr>
          <w:rFonts w:ascii="Times New Roman" w:hAnsi="Times New Roman"/>
          <w:color w:val="000000"/>
          <w:sz w:val="20"/>
        </w:rPr>
        <w:br/>
        <w:t>Name: Henry Ji</w:t>
        <w:br/>
        <w:t>Title: Chief Executive Officer &amp; President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br/>
        <w:t>Date: July 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smnr-ex99_1.htm"/>
      <w:bookmarkStart w:id="3" w:name="kssmnrex99_1"/>
      <w:bookmarkEnd w:id="2"/>
      <w:bookmarkEnd w:id="3"/>
      <w:r>
        <w:rPr>
          <w:rFonts w:ascii="sans-serif" w:hAnsi="sans-serif"/>
          <w:b/>
          <w:color w:val="000000"/>
          <w:sz w:val="24"/>
        </w:rPr>
        <w:t>Exhibit 99.1</w:t>
      </w:r>
      <w:r>
        <w:br w:type="page"/>
      </w:r>
    </w:p>
    <w:p>
      <w:pPr>
        <w:pStyle w:val="TextBody"/>
        <w:bidi w:val="0"/>
        <w:spacing w:before="0" w:after="200"/>
        <w:jc w:val="both"/>
        <w:rPr/>
      </w:pPr>
      <w:r>
        <w:rPr/>
        <w:drawing>
          <wp:inline distT="0" distB="0" distL="0" distR="0">
            <wp:extent cx="255270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52700" cy="1038225"/>
                    </a:xfrm>
                    <a:prstGeom prst="rect">
                      <a:avLst/>
                    </a:prstGeom>
                  </pic:spPr>
                </pic:pic>
              </a:graphicData>
            </a:graphic>
          </wp:inline>
        </w:drawing>
      </w:r>
    </w:p>
    <w:p>
      <w:pPr>
        <w:pStyle w:val="TextBody"/>
        <w:bidi w:val="0"/>
        <w:spacing w:before="0" w:after="200"/>
        <w:jc w:val="right"/>
        <w:rPr>
          <w:rFonts w:ascii="sans-serif" w:hAnsi="sans-serif"/>
          <w:b/>
          <w:color w:val="000000"/>
          <w:sz w:val="22"/>
        </w:rPr>
      </w:pPr>
      <w:r>
        <w:rPr>
          <w:rFonts w:ascii="sans-serif" w:hAnsi="sans-serif"/>
          <w:b/>
          <w:color w:val="000000"/>
          <w:sz w:val="22"/>
        </w:rPr>
        <w:t>FOR IMMEDIATE RELEASE</w:t>
      </w:r>
    </w:p>
    <w:p>
      <w:pPr>
        <w:pStyle w:val="TextBody"/>
        <w:bidi w:val="0"/>
        <w:spacing w:before="0" w:after="200"/>
        <w:jc w:val="right"/>
        <w:rPr>
          <w:rFonts w:ascii="sans-serif" w:hAnsi="sans-serif"/>
          <w:b/>
          <w:color w:val="000000"/>
          <w:sz w:val="22"/>
        </w:rPr>
      </w:pPr>
      <w:r>
        <w:rPr>
          <w:rFonts w:ascii="sans-serif" w:hAnsi="sans-serif"/>
          <w:b/>
          <w:color w:val="000000"/>
          <w:sz w:val="22"/>
        </w:rPr>
        <w:t>July 7, 2026</w:t>
      </w:r>
    </w:p>
    <w:p>
      <w:pPr>
        <w:pStyle w:val="TextBody"/>
        <w:bidi w:val="0"/>
        <w:spacing w:before="0" w:after="200"/>
        <w:jc w:val="left"/>
        <w:rPr>
          <w:rFonts w:ascii="sans-serif" w:hAnsi="sans-serif"/>
          <w:b/>
          <w:color w:val="000000"/>
          <w:sz w:val="22"/>
        </w:rPr>
      </w:pPr>
      <w:r>
        <w:rPr>
          <w:rFonts w:ascii="sans-serif" w:hAnsi="sans-serif"/>
          <w:b/>
          <w:color w:val="000000"/>
          <w:sz w:val="22"/>
        </w:rPr>
        <w:t>Semnur Pharmaceuticals, Inc., a Majority-Owned Subsidiary of Scilex Holding Company, Announces Signing of Binding Term Sheet for Proposed $100 Million Strategic Investment from iHolding Group LLP</w:t>
      </w:r>
    </w:p>
    <w:p>
      <w:pPr>
        <w:pStyle w:val="TextBody"/>
        <w:bidi w:val="0"/>
        <w:jc w:val="left"/>
        <w:rPr>
          <w:rFonts w:ascii="Times New Roman" w:hAnsi="Times New Roman"/>
          <w:sz w:val="20"/>
        </w:rPr>
      </w:pPr>
      <w:r>
        <w:rPr>
          <w:rFonts w:ascii="sans-serif" w:hAnsi="sans-serif"/>
          <w:b/>
          <w:color w:val="000000"/>
          <w:sz w:val="22"/>
        </w:rPr>
        <w:t xml:space="preserve">PALO ALTO, CALIFORNIA – July 7, 2026 (GLOBE NEWSWIRE) – </w:t>
      </w:r>
      <w:r>
        <w:rPr>
          <w:rFonts w:ascii="sans-serif" w:hAnsi="sans-serif"/>
          <w:color w:val="000000"/>
          <w:sz w:val="22"/>
        </w:rPr>
        <w:t>Semnur Pharmaceuticals, Inc. (“Semnur” or the “Company”) (OTC: SMNR) , a clinical late-stage specialty pharmaceutical company focused on the development and commercialization of novel non-opioid pain therapies, today announced the signing of a binding term sheet with iHolding Group LLP ("iHolding"), a private investment group headquartered in Almaty, Republic of Kazakhstan. The term sheet contemplates that iHolding will purchase $100,000,000 of newly issued shares of Semnur common stock. The purchase price for such shares is expected to be $10.00 per share, which would represent approximately 10,000,000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proposed investment would be used to support the continued advancement of the Company's pipeline, including the ongoing Phase 3 clinical program for SEMDEXA (SP-102), as well as product development and commercialization activities, acquisitions and strategic partnerships, working capital and operational growth, intellectual property expansion, and other general corporate purposes.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proposed investment remains subject to completion of customary due diligence, the parties’ negotiation and execution of definitive agreements, board approvals, and other customary closing conditions, including any required regulatory approvals.</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2"/>
        </w:rPr>
      </w:pPr>
      <w:r>
        <w:rPr>
          <w:rFonts w:ascii="sans-serif" w:hAnsi="sans-serif"/>
          <w:b/>
          <w:color w:val="000000"/>
          <w:sz w:val="22"/>
        </w:rPr>
        <w:t>Joint Statement by Alain Khoueiry, Chairman, and Byron Byrd, Chief Executive Officer, iHolding Group LLP:</w:t>
      </w:r>
    </w:p>
    <w:p>
      <w:pPr>
        <w:pStyle w:val="TextBody"/>
        <w:bidi w:val="0"/>
        <w:spacing w:before="0" w:after="200"/>
        <w:jc w:val="left"/>
        <w:rPr>
          <w:color w:val="000000"/>
        </w:rPr>
      </w:pPr>
      <w:r>
        <w:rPr>
          <w:color w:val="000000"/>
        </w:rPr>
        <w:t>“</w:t>
      </w:r>
      <w:r>
        <w:rPr>
          <w:rFonts w:ascii="sans-serif" w:hAnsi="sans-serif"/>
          <w:color w:val="000000"/>
          <w:sz w:val="22"/>
        </w:rPr>
        <w:t>Our proposed investment in Semnur Pharmaceuticals has the potential to become a landmark transaction, demonstrating the growing capacity and international outlook of Kazakhstan-linked investment capital in supporting world-class biopharmaceutical innovation.</w:t>
      </w:r>
    </w:p>
    <w:p>
      <w:pPr>
        <w:pStyle w:val="TextBody"/>
        <w:bidi w:val="0"/>
        <w:spacing w:before="0" w:after="200"/>
        <w:jc w:val="left"/>
        <w:rPr>
          <w:rFonts w:ascii="sans-serif" w:hAnsi="sans-serif"/>
          <w:color w:val="000000"/>
          <w:sz w:val="22"/>
        </w:rPr>
      </w:pPr>
      <w:r>
        <w:rPr>
          <w:rFonts w:ascii="sans-serif" w:hAnsi="sans-serif"/>
          <w:color w:val="000000"/>
          <w:sz w:val="22"/>
        </w:rPr>
        <w:t>SEMDEXA, with its FDA Fast Track designation and advanced Phase 3 clinical development programme, represents an opportunity to participate in a therapy that addresses a significant unmet medical need while supporting innovation at the highest level of the global life sciences industry.</w:t>
      </w:r>
    </w:p>
    <w:p>
      <w:pPr>
        <w:pStyle w:val="TextBody"/>
        <w:bidi w:val="0"/>
        <w:spacing w:before="0" w:after="200"/>
        <w:jc w:val="left"/>
        <w:rPr>
          <w:rFonts w:ascii="Times New Roman" w:hAnsi="Times New Roman"/>
          <w:sz w:val="20"/>
        </w:rPr>
      </w:pPr>
      <w:r>
        <w:rPr>
          <w:rFonts w:ascii="sans-serif" w:hAnsi="sans-serif"/>
          <w:color w:val="000000"/>
          <w:sz w:val="22"/>
        </w:rPr>
        <w:t>Equally important, this initiative is fully aligned with iHolding’s long-term strategy of helping establish Kazakhstan as a leading regional hub for pharmaceutical manufacturing, research and development, regulatory excellence, and international distribution. Every strategic partnership of this quality</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Page |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strengthens the expertise, supply chain relationships, regulatory knowledge, and global industry connections necessary to build a sustainable life sciences ecosystem capable of serving Central Asia and international markets alike.</w:t>
      </w:r>
    </w:p>
    <w:p>
      <w:pPr>
        <w:pStyle w:val="TextBody"/>
        <w:bidi w:val="0"/>
        <w:spacing w:before="0" w:after="200"/>
        <w:jc w:val="left"/>
        <w:rPr>
          <w:rFonts w:ascii="sans-serif" w:hAnsi="sans-serif"/>
          <w:color w:val="000000"/>
          <w:sz w:val="22"/>
        </w:rPr>
      </w:pPr>
      <w:r>
        <w:rPr>
          <w:rFonts w:ascii="sans-serif" w:hAnsi="sans-serif"/>
          <w:color w:val="000000"/>
          <w:sz w:val="22"/>
        </w:rPr>
        <w:t>Our vision extends well beyond individual investments. We are committed to helping create an internationally connected pharmaceutical and biotechnology sector that supports innovation, attracts global partners, and contributes meaningfully to Kazakhstan’s long-term economic and scientific development.”</w:t>
      </w:r>
    </w:p>
    <w:p>
      <w:pPr>
        <w:pStyle w:val="TextBody"/>
        <w:bidi w:val="0"/>
        <w:spacing w:before="0" w:after="200"/>
        <w:jc w:val="left"/>
        <w:rPr>
          <w:rFonts w:ascii="sans-serif" w:hAnsi="sans-serif"/>
          <w:color w:val="000000"/>
          <w:sz w:val="22"/>
        </w:rPr>
      </w:pPr>
      <w:r>
        <w:rPr>
          <w:rFonts w:ascii="sans-serif" w:hAnsi="sans-serif"/>
          <w:color w:val="000000"/>
          <w:sz w:val="22"/>
        </w:rPr>
        <w:t>This press release shall not constitute an offer to sell or a solicitation of an offer to buy Semnur securities,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jc w:val="left"/>
        <w:rPr>
          <w:rFonts w:ascii="Times New Roman" w:hAnsi="Times New Roman"/>
          <w:sz w:val="20"/>
        </w:rPr>
      </w:pPr>
      <w:r>
        <w:rPr>
          <w:rFonts w:ascii="sans-serif" w:hAnsi="sans-serif"/>
          <w:color w:val="000000"/>
          <w:sz w:val="22"/>
        </w:rPr>
        <w:t xml:space="preserve">For more information on Semnur Pharmaceuticals, Inc., refer to </w:t>
      </w:r>
      <w:r>
        <w:rPr>
          <w:rFonts w:ascii="sans-serif" w:hAnsi="sans-serif"/>
          <w:sz w:val="22"/>
        </w:rPr>
        <w:t>www.semnurpharma.com</w:t>
      </w:r>
    </w:p>
    <w:p>
      <w:pPr>
        <w:pStyle w:val="TextBody"/>
        <w:bidi w:val="0"/>
        <w:spacing w:before="0" w:after="200"/>
        <w:jc w:val="left"/>
        <w:rPr>
          <w:rFonts w:ascii="sans-serif" w:hAnsi="sans-serif"/>
          <w:b/>
          <w:color w:val="000000"/>
          <w:sz w:val="22"/>
        </w:rPr>
      </w:pPr>
      <w:r>
        <w:rPr>
          <w:rFonts w:ascii="sans-serif" w:hAnsi="sans-serif"/>
          <w:b/>
          <w:color w:val="000000"/>
          <w:sz w:val="22"/>
        </w:rPr>
        <w:t>About Semnur Pharmaceuticals, Inc.</w:t>
      </w:r>
    </w:p>
    <w:p>
      <w:pPr>
        <w:pStyle w:val="TextBody"/>
        <w:bidi w:val="0"/>
        <w:spacing w:before="0" w:after="200"/>
        <w:jc w:val="left"/>
        <w:rPr>
          <w:rFonts w:ascii="Times New Roman" w:hAnsi="Times New Roman"/>
          <w:sz w:val="20"/>
        </w:rPr>
      </w:pPr>
      <w:r>
        <w:rPr>
          <w:rFonts w:ascii="sans-serif" w:hAnsi="sans-serif"/>
          <w:color w:val="000000"/>
          <w:sz w:val="22"/>
        </w:rPr>
        <w:t>Semnur is a clinical late-stage specialty pharmaceutical company focused on the development and commercialization of novel non-opioid pain therapies. Semnur’s product candidate, SP-102 (SEMDEXA), is the first non-opioid novel gel formulation administered epidurally in development for patients with moderate to severe chronic radicular pain/sciatica.</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Semnur is headquartered in Palo Alto, California.</w:t>
      </w:r>
    </w:p>
    <w:p>
      <w:pPr>
        <w:pStyle w:val="TextBody"/>
        <w:bidi w:val="0"/>
        <w:spacing w:before="0" w:after="200"/>
        <w:jc w:val="left"/>
        <w:rPr>
          <w:rFonts w:ascii="Times New Roman" w:hAnsi="Times New Roman"/>
          <w:sz w:val="20"/>
        </w:rPr>
      </w:pPr>
      <w:r>
        <w:rPr>
          <w:rFonts w:ascii="sans-serif" w:hAnsi="sans-serif"/>
          <w:b/>
          <w:color w:val="000000"/>
          <w:sz w:val="22"/>
        </w:rPr>
        <w:t>About Scilex Holding Company</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Scilex Holding Company (“Scilex”) is an innovative revenue-generating company focused on acquiring, developing and commercializing non-opioid pain management products for the treatment of acute and chronic pain and neurodegenerative and cardiometabolic disease. Scilex targets indications with high unmet needs and large market opportunities with non-opioid therapies for the treatment of patients with acute and chronic pain and is dedicated to advancing and improving patient outcomes. Scilex’s commercial products include: (i) ZTlido® (lidocaine topical system) 1.8%, a prescription lidocaine topical product approved by the U.S. Food and Drug Administration (the “FDA”) for the relief of neuropathic pain associated with postherpetic neuralgia,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w:t>
      </w:r>
    </w:p>
    <w:p>
      <w:pPr>
        <w:pStyle w:val="TextBody"/>
        <w:bidi w:val="0"/>
        <w:spacing w:before="0" w:after="200"/>
        <w:jc w:val="left"/>
        <w:rPr>
          <w:rFonts w:ascii="Times New Roman" w:hAnsi="Times New Roman"/>
          <w:sz w:val="20"/>
        </w:rPr>
      </w:pPr>
      <w:r>
        <w:rPr>
          <w:rFonts w:ascii="sans-serif" w:hAnsi="sans-serif"/>
          <w:color w:val="000000"/>
          <w:sz w:val="22"/>
        </w:rPr>
        <w:t>In addition, Scilex has three product candidates: (i) SP-102 (10 mg, dexamethasone sodium phosphate viscous gel) (“SEMDEXA</w:t>
      </w:r>
      <w:r>
        <w:rPr>
          <w:rFonts w:ascii="Times New Roman" w:hAnsi="Times New Roman"/>
          <w:color w:val="000000"/>
          <w:sz w:val="20"/>
        </w:rPr>
        <w:t xml:space="preserve">” </w:t>
      </w:r>
      <w:r>
        <w:rPr>
          <w:rFonts w:ascii="sans-serif" w:hAnsi="sans-serif"/>
          <w:color w:val="000000"/>
          <w:sz w:val="22"/>
        </w:rPr>
        <w:t>or “SP-102”), which is owned by Semnur Pharmaceuticals, Inc. (a majority owned subsidiary of Scilex) and is a novel, viscous gel formulation of a widely used corticosteroid for epidural injections to treat lumbosacral radicular pain, or sciatica, for which Scilex has completed a Phase 3 study and was granted Fast Track status from the FDA in 2017; (ii) SP-103 (lidocaine topical system) 5.4%, (“SP-103”), a next-generation, triple-strength formulation of ZTlido, for the treatment of</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Page |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acute pain and for which Scilex has recently completed a Phase 2 trial in acute low back pain. SP-103 has been granted Fast Track status from the FDA in low back pain; and (iii) SP-104 (4.5 mg, low-dose naltrexone hydrochloride delayed-release capsules) (“SP-104”), a novel low-dose delayed-release naltrexone hydrochloride being developed for the treatment of fibromyalgia.</w:t>
      </w:r>
    </w:p>
    <w:p>
      <w:pPr>
        <w:pStyle w:val="TextBody"/>
        <w:bidi w:val="0"/>
        <w:spacing w:before="0" w:after="200"/>
        <w:jc w:val="left"/>
        <w:rPr>
          <w:rFonts w:ascii="sans-serif" w:hAnsi="sans-serif"/>
          <w:color w:val="000000"/>
          <w:sz w:val="22"/>
        </w:rPr>
      </w:pPr>
      <w:r>
        <w:rPr>
          <w:rFonts w:ascii="sans-serif" w:hAnsi="sans-serif"/>
          <w:color w:val="000000"/>
          <w:sz w:val="22"/>
        </w:rPr>
        <w:t>Scilex is headquartered in Palo Alto, California.</w:t>
      </w:r>
    </w:p>
    <w:p>
      <w:pPr>
        <w:pStyle w:val="TextBody"/>
        <w:bidi w:val="0"/>
        <w:spacing w:before="0" w:after="200"/>
        <w:jc w:val="left"/>
        <w:rPr>
          <w:rFonts w:ascii="sans-serif" w:hAnsi="sans-serif"/>
          <w:b/>
          <w:color w:val="000000"/>
          <w:sz w:val="22"/>
        </w:rPr>
      </w:pPr>
      <w:r>
        <w:rPr>
          <w:rFonts w:ascii="sans-serif" w:hAnsi="sans-serif"/>
          <w:b/>
          <w:color w:val="000000"/>
          <w:sz w:val="22"/>
        </w:rPr>
        <w:t>About iHolding Group LLP</w:t>
      </w:r>
    </w:p>
    <w:p>
      <w:pPr>
        <w:pStyle w:val="TextBody"/>
        <w:bidi w:val="0"/>
        <w:spacing w:before="0" w:after="200"/>
        <w:jc w:val="left"/>
        <w:rPr>
          <w:rFonts w:ascii="sans-serif" w:hAnsi="sans-serif"/>
          <w:color w:val="000000"/>
          <w:sz w:val="22"/>
        </w:rPr>
      </w:pPr>
      <w:r>
        <w:rPr>
          <w:rFonts w:ascii="sans-serif" w:hAnsi="sans-serif"/>
          <w:color w:val="000000"/>
          <w:sz w:val="22"/>
        </w:rPr>
        <w:t>iHolding Group LLP is a private investment group headquartered in Almaty, Republic of Kazakhstan, focused on strategic capital deployment across healthcare, technology, and commercial sectors. iHolding seeks investments in companies with strong intellectual property platforms and meaningful global growth potential.</w:t>
      </w:r>
    </w:p>
    <w:p>
      <w:pPr>
        <w:pStyle w:val="TextBody"/>
        <w:bidi w:val="0"/>
        <w:spacing w:before="0" w:after="200"/>
        <w:jc w:val="left"/>
        <w:rPr>
          <w:rFonts w:ascii="sans-serif" w:hAnsi="sans-serif"/>
          <w:b/>
          <w:color w:val="000000"/>
          <w:sz w:val="22"/>
        </w:rPr>
      </w:pPr>
      <w:r>
        <w:rPr>
          <w:rFonts w:ascii="sans-serif" w:hAnsi="sans-serif"/>
          <w:b/>
          <w:color w:val="000000"/>
          <w:sz w:val="22"/>
        </w:rPr>
        <w:t xml:space="preserve">Forward-Looking Statements </w:t>
      </w:r>
    </w:p>
    <w:p>
      <w:pPr>
        <w:pStyle w:val="TextBody"/>
        <w:bidi w:val="0"/>
        <w:spacing w:before="0" w:after="200"/>
        <w:jc w:val="both"/>
        <w:rPr>
          <w:rFonts w:ascii="Times New Roman" w:hAnsi="Times New Roman"/>
          <w:sz w:val="20"/>
        </w:rPr>
      </w:pPr>
      <w:r>
        <w:rPr>
          <w:rFonts w:ascii="sans-serif" w:hAnsi="sans-serif"/>
          <w:color w:val="000000"/>
          <w:sz w:val="22"/>
        </w:rPr>
        <w:t xml:space="preserve">This press release </w:t>
      </w:r>
      <w:r>
        <w:rPr>
          <w:rFonts w:ascii="sans-serif" w:hAnsi="sans-serif"/>
          <w:color w:val="1F1F1F"/>
          <w:sz w:val="22"/>
        </w:rPr>
        <w:t xml:space="preserve">includes forward-looking statements that involve risks and uncertainties. Forward-looking statements are statements that are not historical facts and may be accompanied by words that convey projected future events or outcomes, such as </w:t>
      </w:r>
      <w:r>
        <w:rPr>
          <w:rFonts w:ascii="Times New Roman" w:hAnsi="Times New Roman"/>
          <w:color w:val="1F1F1F"/>
          <w:sz w:val="20"/>
        </w:rPr>
        <w:t>“</w:t>
      </w:r>
      <w:r>
        <w:rPr>
          <w:rFonts w:ascii="sans-serif" w:hAnsi="sans-serif"/>
          <w:i/>
          <w:color w:val="1F1F1F"/>
          <w:sz w:val="22"/>
        </w:rPr>
        <w:t>believe,” “may,” “will,” “estimate,” “continue,” “anticipate,” “intend,” “expect,” “should,” “would,” “plan,” “predict,” “potential,” “seem,” “seek,” “future,” “outlook”</w:t>
      </w:r>
      <w:r>
        <w:rPr>
          <w:rFonts w:ascii="Times New Roman" w:hAnsi="Times New Roman"/>
          <w:color w:val="1F1F1F"/>
          <w:sz w:val="20"/>
        </w:rPr>
        <w:t xml:space="preserve"> </w:t>
      </w:r>
      <w:r>
        <w:rPr>
          <w:rFonts w:ascii="sans-serif" w:hAnsi="sans-serif"/>
          <w:color w:val="1F1F1F"/>
          <w:sz w:val="22"/>
        </w:rPr>
        <w:t>or variations of such words or by expressions of similar meaning. These forward-looking statements include, but are not limited to, statements regarding future events, the expected execution of definitive agreements, the closing of the proposed investment and whether the proposed investment can support Semnur’s continued strategic growth. These statements are based on management’s current expectations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Semnur. These statements are subject to a number of risks and uncertainties regarding Semnur’s business. These risks and uncertainties include, but are not limited to, delays or inability to complete due diligence, execute definitive agreements, or obtain any necessary approvals for the proposed investment, including board, stockholder and regulatory approvals; general economic, political and business conditions; the ability of Semnur to develop and successfully market products; the ability of Semnur to grow and manage growth profitably and retain its key employees;</w:t>
      </w:r>
      <w:r>
        <w:rPr>
          <w:rFonts w:ascii="Times New Roman" w:hAnsi="Times New Roman"/>
          <w:color w:val="35495E"/>
          <w:sz w:val="20"/>
        </w:rPr>
        <w:t xml:space="preserve"> </w:t>
      </w:r>
      <w:r>
        <w:rPr>
          <w:rFonts w:ascii="sans-serif" w:hAnsi="sans-serif"/>
          <w:color w:val="1F1F1F"/>
          <w:sz w:val="22"/>
        </w:rPr>
        <w:t>the risk that the potential product candidates that Semnur develops may not progress through clinical development or receive required regulatory approvals within expected timelines or at all; risks relating to uncertainty regarding the regulatory pathway for Semnur’s product candidates; the risk that Semnur’s product candidates may not be beneficial to patients or successfully commercialized; the risk that Semnur has overestimated the size of the target patient population, their willingness to try new therapies and the willingness of physicians to prescribe these therapies; risks that the prior results of the clinical trials may not be replicated; regulatory and intellectual property risks; and other risks and uncertainties indicated from time to time and other risks set forth in Semnur’s filings with the SEC. There may be additional risks that Semnur presently does not know or that</w:t>
      </w:r>
      <w:r>
        <w:rPr>
          <w:rFonts w:ascii="Times New Roman" w:hAnsi="Times New Roman"/>
          <w:color w:val="1F1F1F"/>
          <w:sz w:val="20"/>
        </w:rPr>
        <w:t xml:space="preserve"> </w:t>
      </w:r>
    </w:p>
    <w:p>
      <w:pPr>
        <w:pStyle w:val="TextBody"/>
        <w:bidi w:val="0"/>
        <w:jc w:val="left"/>
        <w:rPr>
          <w:rFonts w:ascii="sans-serif" w:hAnsi="sans-serif"/>
          <w:color w:val="000000"/>
          <w:sz w:val="22"/>
        </w:rPr>
      </w:pPr>
      <w:r>
        <w:rPr>
          <w:rFonts w:ascii="sans-serif" w:hAnsi="sans-serif"/>
          <w:color w:val="000000"/>
          <w:sz w:val="22"/>
        </w:rPr>
        <w:t>Page |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sans-serif" w:hAnsi="sans-serif"/>
          <w:color w:val="1F1F1F"/>
          <w:sz w:val="22"/>
        </w:rPr>
        <w:t>Semnur currently believes are immaterial that could also cause actual results to differ from those contained in the forward-looking statements. In addition, forward-looking statements provide Semnur’s expectations, plans or forecasts of future events and views as of the date of the communication. Semnur anticipates that subsequent events and developments will cause such assessments to change. However, while Semnur may elect to update these forward-looking statements at some point in the future, Semnur specifically disclaims any obligation to do so. These forward-looking statements should not be relied upon as representing Semnur’s assessments as of any date subsequent to the date of this communication. Accordingly, investors are cautioned not to place undue reliance on these forward-looking statements.</w:t>
      </w:r>
      <w:r>
        <w:rPr>
          <w:rFonts w:ascii="Times New Roman" w:hAnsi="Times New Roman"/>
          <w:color w:val="1F1F1F"/>
          <w:sz w:val="20"/>
        </w:rPr>
        <w:t xml:space="preserve"> </w:t>
      </w:r>
    </w:p>
    <w:p>
      <w:pPr>
        <w:pStyle w:val="TextBody"/>
        <w:bidi w:val="0"/>
        <w:spacing w:before="0" w:after="200"/>
        <w:jc w:val="both"/>
        <w:rPr>
          <w:rFonts w:ascii="sans-serif" w:hAnsi="sans-serif"/>
          <w:b/>
          <w:color w:val="000000"/>
          <w:sz w:val="22"/>
        </w:rPr>
      </w:pPr>
      <w:r>
        <w:rPr>
          <w:rFonts w:ascii="sans-serif" w:hAnsi="sans-serif"/>
          <w:b/>
          <w:color w:val="000000"/>
          <w:sz w:val="22"/>
        </w:rPr>
        <w:t>Contacts:</w:t>
      </w:r>
    </w:p>
    <w:p>
      <w:pPr>
        <w:pStyle w:val="TextBody"/>
        <w:bidi w:val="0"/>
        <w:spacing w:before="0" w:after="200"/>
        <w:jc w:val="left"/>
        <w:rPr>
          <w:rFonts w:ascii="sans-serif" w:hAnsi="sans-serif"/>
          <w:color w:val="000000"/>
          <w:sz w:val="22"/>
        </w:rPr>
      </w:pPr>
      <w:r>
        <w:rPr>
          <w:rFonts w:ascii="sans-serif" w:hAnsi="sans-serif"/>
          <w:color w:val="000000"/>
          <w:sz w:val="22"/>
        </w:rPr>
        <w:t>Investors and Media</w:t>
        <w:br/>
        <w:t xml:space="preserve">Semnur Pharmaceuticals, Inc. </w:t>
        <w:br/>
        <w:t>960 San Antonio Road</w:t>
        <w:br/>
        <w:t>Palo Alto, CA 94303</w:t>
        <w:br/>
        <w:t>Office: (650) 422-7515</w:t>
      </w:r>
    </w:p>
    <w:p>
      <w:pPr>
        <w:pStyle w:val="TextBody"/>
        <w:bidi w:val="0"/>
        <w:spacing w:before="0" w:after="200"/>
        <w:jc w:val="left"/>
        <w:rPr>
          <w:rFonts w:ascii="sans-serif" w:hAnsi="sans-serif"/>
          <w:color w:val="000000"/>
          <w:sz w:val="22"/>
        </w:rPr>
      </w:pPr>
      <w:r>
        <w:rPr>
          <w:rFonts w:ascii="sans-serif" w:hAnsi="sans-serif"/>
          <w:color w:val="000000"/>
          <w:sz w:val="22"/>
        </w:rPr>
        <w:t>Email: investorrelations@semnurpharma.com</w:t>
      </w:r>
    </w:p>
    <w:p>
      <w:pPr>
        <w:pStyle w:val="TextBody"/>
        <w:bidi w:val="0"/>
        <w:spacing w:before="0" w:after="200"/>
        <w:jc w:val="left"/>
        <w:rPr>
          <w:rFonts w:ascii="Times New Roman" w:hAnsi="Times New Roman"/>
          <w:sz w:val="20"/>
        </w:rPr>
      </w:pPr>
      <w:r>
        <w:rPr>
          <w:rFonts w:ascii="sans-serif" w:hAnsi="sans-serif"/>
          <w:color w:val="000000"/>
          <w:sz w:val="22"/>
        </w:rPr>
        <w:t xml:space="preserve">Website: </w:t>
      </w:r>
      <w:r>
        <w:rPr>
          <w:rFonts w:ascii="sans-serif" w:hAnsi="sans-serif"/>
          <w:sz w:val="22"/>
        </w:rPr>
        <w:t>www.semnurpharma.com</w:t>
      </w:r>
    </w:p>
    <w:p>
      <w:pPr>
        <w:pStyle w:val="TextBody"/>
        <w:bidi w:val="0"/>
        <w:spacing w:before="0" w:after="200"/>
        <w:jc w:val="left"/>
        <w:rPr>
          <w:rFonts w:ascii="sans-serif" w:hAnsi="sans-serif"/>
          <w:color w:val="000000"/>
          <w:sz w:val="22"/>
        </w:rPr>
      </w:pPr>
      <w:r>
        <w:rPr>
          <w:rFonts w:ascii="sans-serif" w:hAnsi="sans-serif"/>
          <w:color w:val="000000"/>
          <w:sz w:val="22"/>
        </w:rPr>
        <w:t># # #</w:t>
      </w:r>
    </w:p>
    <w:p>
      <w:pPr>
        <w:pStyle w:val="TextBody"/>
        <w:bidi w:val="0"/>
        <w:spacing w:before="0" w:after="200"/>
        <w:jc w:val="both"/>
        <w:rPr>
          <w:rFonts w:ascii="sans-serif" w:hAnsi="sans-serif"/>
          <w:color w:val="000000"/>
          <w:sz w:val="22"/>
        </w:rPr>
      </w:pPr>
      <w:r>
        <w:rPr>
          <w:rFonts w:ascii="sans-serif" w:hAnsi="sans-serif"/>
          <w:color w:val="000000"/>
          <w:sz w:val="22"/>
        </w:rPr>
        <w:t>SEMDEXA (SP-102) is a trademark owned by Semnur Pharmaceuticals, Inc., a majority-owned subsidiary of Scilex Holding Company. A proprietary name review by the FDA is planned.</w:t>
      </w:r>
    </w:p>
    <w:p>
      <w:pPr>
        <w:pStyle w:val="TextBody"/>
        <w:bidi w:val="0"/>
        <w:spacing w:before="0" w:after="200"/>
        <w:jc w:val="both"/>
        <w:rPr>
          <w:rFonts w:ascii="Times New Roman" w:hAnsi="Times New Roman"/>
          <w:sz w:val="20"/>
        </w:rPr>
      </w:pPr>
      <w:r>
        <w:rPr>
          <w:rFonts w:ascii="sans-serif" w:hAnsi="sans-serif"/>
          <w:color w:val="000000"/>
          <w:sz w:val="22"/>
        </w:rPr>
        <w:t>All other trademarks are the property of their respective owners.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2"/>
        </w:rPr>
        <w:t>© 2026 Semnur Pharmaceuticals, Inc. All Rights Reserved.</w:t>
      </w:r>
      <w:r>
        <w:rPr>
          <w:rFonts w:ascii="Times New Roman" w:hAnsi="Times New Roman"/>
          <w:color w:val="000000"/>
          <w:sz w:val="20"/>
        </w:rPr>
        <w:t xml:space="preserve">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rFonts w:ascii="sans-serif" w:hAnsi="sans-serif"/>
          <w:color w:val="000000"/>
          <w:sz w:val="22"/>
        </w:rPr>
      </w:pPr>
      <w:r>
        <w:rPr>
          <w:rFonts w:ascii="sans-serif" w:hAnsi="sans-serif"/>
          <w:color w:val="000000"/>
          <w:sz w:val="22"/>
        </w:rPr>
        <w:t>Page | 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2614</Words>
  <Characters>15213</Characters>
  <CharactersWithSpaces>17771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