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333-290995</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SEMNUR PHARMACEUTICALS, INC.</w:t>
      </w:r>
    </w:p>
    <w:p>
      <w:pPr>
        <w:spacing w:after="0" w:line="116" w:lineRule="exact"/>
        <w:rPr>
          <w:sz w:val="24"/>
          <w:szCs w:val="24"/>
          <w:color w:val="auto"/>
        </w:rPr>
      </w:pPr>
    </w:p>
    <w:p>
      <w:pPr>
        <w:jc w:val="center"/>
        <w:ind w:left="420" w:right="1760"/>
        <w:spacing w:after="0" w:line="248" w:lineRule="auto"/>
        <w:rPr>
          <w:sz w:val="20"/>
          <w:szCs w:val="20"/>
          <w:color w:val="auto"/>
        </w:rPr>
      </w:pPr>
      <w:r>
        <w:rPr>
          <w:rFonts w:ascii="Times New Roman" w:cs="Times New Roman" w:eastAsia="Times New Roman" w:hAnsi="Times New Roman"/>
          <w:sz w:val="22"/>
          <w:szCs w:val="22"/>
          <w:b w:val="1"/>
          <w:bCs w:val="1"/>
          <w:color w:val="auto"/>
        </w:rPr>
        <w:t>Up to 203,737,349 Shares of Common Stock Up to 7,432,122 Shares of Common Stock Issuable Upon the Exercise of Warrants Up to 510,000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305435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the issuance by us of up to an aggregate of 7,432,122 shares of our common stock, par value $0.0001 per share (“Common Stock”), issuable upon the exercise of (i) 510,000 private placement warrants (the “Private Warrants” and such shares issuable upon exercise, the “Private Warrant Shares”) originally sold in a private placement in connection with the initial public offering of Denali Capital Acquisition Corp. (“Denali”) and (ii) 6,922,122 public warrants (the “Public Warrants” and such shares issuable upon exercise, the “Public Warrant Shares”) originally sold to the public investors in connection with the initial public offering of Denali (the Public Warrants and the Private Warrants being referred to herein together as the “Warrants”). We will not receive the proceeds from the resale of the Private Warrant Shares or the Public Warrant Shares hereunder; however, we will receive the proceeds from the exercise of any Private Warrants and the Public Warrants.</w:t>
      </w:r>
    </w:p>
    <w:p>
      <w:pPr>
        <w:spacing w:after="0" w:line="18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also relates to the offer and sale from time to time by:</w:t>
      </w:r>
    </w:p>
    <w:p>
      <w:pPr>
        <w:spacing w:after="0" w:line="225" w:lineRule="exact"/>
        <w:rPr>
          <w:sz w:val="24"/>
          <w:szCs w:val="24"/>
          <w:color w:val="auto"/>
        </w:rPr>
      </w:pPr>
    </w:p>
    <w:p>
      <w:pPr>
        <w:ind w:left="120" w:right="420" w:firstLine="436"/>
        <w:spacing w:after="0" w:line="312" w:lineRule="auto"/>
        <w:tabs>
          <w:tab w:leader="none" w:pos="80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stockholders named in this prospectus (including their permitted transferees, donees, pledgees and other successors-in-interest) (collectively, the “Selling Stockholders”) of up to an aggregate of 203,737,349 shares of our Common Stock (the “Resale Shares”), consisting of:</w:t>
      </w:r>
    </w:p>
    <w:p>
      <w:pPr>
        <w:spacing w:after="0" w:line="31" w:lineRule="exact"/>
        <w:rPr>
          <w:rFonts w:ascii="Times New Roman" w:cs="Times New Roman" w:eastAsia="Times New Roman" w:hAnsi="Times New Roman"/>
          <w:sz w:val="17"/>
          <w:szCs w:val="17"/>
          <w:color w:val="auto"/>
        </w:rPr>
      </w:pPr>
    </w:p>
    <w:p>
      <w:pPr>
        <w:ind w:left="560" w:right="140" w:firstLine="419"/>
        <w:spacing w:after="0" w:line="258" w:lineRule="auto"/>
        <w:tabs>
          <w:tab w:leader="none" w:pos="1198"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2,072,500 shares of Common Stock (the “Sponsor Shares”) held by Jiandong “Peter” Xu, FutureTech Capital LLC (“FutureTech”) (such holdings of Jiandong “Peter” Xu and FutureTech were transferred to such parties by Denali Capital Global Investments LLC prior to the closing of the Business Combination), Huifeng Chang, Lei Huang, Jim Mao, You “Patrick” Sun and Kevin Vassily that were issued on September 22, 2025 upon conversion of the same number of our former ordinary shares in connection with the Domestication and the Business Combination (each as defined below);</w:t>
      </w:r>
    </w:p>
    <w:p>
      <w:pPr>
        <w:spacing w:after="0" w:line="75"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510,000 Private Warrant Shares;</w:t>
      </w:r>
    </w:p>
    <w:p>
      <w:pPr>
        <w:spacing w:after="0" w:line="117" w:lineRule="exact"/>
        <w:rPr>
          <w:rFonts w:ascii="Times New Roman" w:cs="Times New Roman" w:eastAsia="Times New Roman" w:hAnsi="Times New Roman"/>
          <w:sz w:val="18"/>
          <w:szCs w:val="18"/>
          <w:color w:val="auto"/>
        </w:rPr>
      </w:pPr>
    </w:p>
    <w:p>
      <w:pPr>
        <w:ind w:left="560" w:right="640" w:firstLine="419"/>
        <w:spacing w:after="0" w:line="282" w:lineRule="auto"/>
        <w:tabs>
          <w:tab w:leader="none" w:pos="1298"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188,554,849 shares of Common Stock (the “Scilex Shares”) held by Scilex Holding Company (“Scilex”) and certain of its subsidiaries;</w:t>
      </w:r>
    </w:p>
    <w:p>
      <w:pPr>
        <w:spacing w:after="0" w:line="53" w:lineRule="exact"/>
        <w:rPr>
          <w:rFonts w:ascii="Times New Roman" w:cs="Times New Roman" w:eastAsia="Times New Roman" w:hAnsi="Times New Roman"/>
          <w:sz w:val="18"/>
          <w:szCs w:val="18"/>
          <w:color w:val="auto"/>
        </w:rPr>
      </w:pPr>
    </w:p>
    <w:p>
      <w:pPr>
        <w:ind w:left="560" w:right="80" w:firstLine="419"/>
        <w:spacing w:after="0" w:line="258" w:lineRule="auto"/>
        <w:tabs>
          <w:tab w:leader="none" w:pos="1288"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100,000 shares of Common Stock (the “Underwriter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Inc. (“US Tiger”) and D. Boral Capital, LLC (f/k/a EF Hutton LLC) (“D. Boral”), which such deferred discount was subsequently amended by the Satisfaction and Discharge Agreements Denali entered into with each of US Tiger and D. Boral on September 22, 2025 immediately prior to the consummation of the Business Combination; and</w:t>
      </w:r>
    </w:p>
    <w:p>
      <w:pPr>
        <w:spacing w:after="0" w:line="75"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12,500,000 shares of Common Stock (the “Biconomy Resale Shares”) held by Biconomy PTE.LTD; and</w:t>
      </w:r>
    </w:p>
    <w:p>
      <w:pPr>
        <w:spacing w:after="0" w:line="225" w:lineRule="exact"/>
        <w:rPr>
          <w:rFonts w:ascii="Times New Roman" w:cs="Times New Roman" w:eastAsia="Times New Roman" w:hAnsi="Times New Roman"/>
          <w:sz w:val="18"/>
          <w:szCs w:val="18"/>
          <w:color w:val="auto"/>
        </w:rPr>
      </w:pPr>
    </w:p>
    <w:p>
      <w:pPr>
        <w:ind w:left="120" w:right="300" w:firstLine="436"/>
        <w:spacing w:after="0" w:line="266" w:lineRule="auto"/>
        <w:tabs>
          <w:tab w:leader="none" w:pos="8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warrantholder named in this prospectus (including such warrantholder’s permitted transferees, donees, pledgees and other successors-in-interest) (collectively, the “Selling Warrantholders” and, together with the Selling Stockholders, the “Selling Securityholders”) of up to 510,000 Private Warrants.</w:t>
      </w:r>
    </w:p>
    <w:p>
      <w:pPr>
        <w:spacing w:after="0" w:line="176" w:lineRule="exact"/>
        <w:rPr>
          <w:sz w:val="24"/>
          <w:szCs w:val="24"/>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On September 22, 2025, we consummated the previously announced business combination (the “Business Combination”) pursuant to that certain Agreement and Plan of Merger, dated as of August 30, 2024 (as amended, restated or supplemented from time to time, including by Amendment No. 1 to Agreement and Plan of Merger, dated as of April 16, 2025 and Amendment No. 2 to Agreement and Plan of Merger, dated as of July 22,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(the “Merger Agreement”), by and among us, Denali Merger Sub Inc., our then-wholly owned subsidiary (the “Merger Sub”), and the pre-Business Combination Semnur Pharmaceuticals, Inc. (now known as Semnur, Inc., “Legacy Semnur”). We are registering the issuance by us of up to 6,922,122 shares of Common Stock upon the exercise of the Public Warrants as required under the terms of the Warrant Agreement, dated as of April 6, 2022, between Denali Capital Acquisition Corp. (now known as Semnur Pharmaceuticals, Inc.), and VStock Transfer, LLC (“VStock”), as warrant agent, which governs the Public Warrants. We are also registering the resale of the Sponsor Shares, the Merger Shares, the Private Warrant Shares and the Private Warrants as required by that certain Amended and Restated Registration Rights Agreement by and among us, the Sponsors and certain other stockholders, dated September 22, 2025 (the “Registration Rights Agreement”).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registration of the Resale Shares and the Private Warrants covered by this prospectus does not mean that the Selling Securityholders will offer or sell any of the Resale Shares or the Private Warrants. The Selling Securityholders may sell the Resale Shares and the Private Warrants covered by this prospectus in a number of different ways and at varying prices. For additional information on the possible methods of sale that may be used by the Selling Securityholders, you should refer to the section of this prospectus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178 of this prospectus. We will receive the proceeds from any exercise of the Warrants for cash, but will not receive any of the proceeds from the resale of the Resale Shares or the Private Warrants sold by the Selling Securityholders.</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No underwriter or other person has been engaged to facilitate the sale of the shares of our Common Stock or the Warrants in these offerings. The Selling Securityholders may be deemed to be “underwriters” within the meaning of Section 2(a)(11) of the Securities Act of 1933, as amended (the “Securities Act”) of the Resale Shares and the Private Warrants that they are offering pursuant to this prospectus. We will bear all costs, expenses and fees in connection with the registration of the shares of our Common Stock and Warrants hereunder. The Selling Securityholders will bear all commissions and discounts, if any, attributable to their respective sales of the Resale Shares and the Private Warrants.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trade on the Pink Limited Market of the OTC Markets Group, Inc. under the symbols “SMNR” and “SMNRW”, respectively. On May 15, 2026, the last reported sales price per share of our Common Stock was $5.99. On May 15, 2026, the last reported sales price per warrant of our Public Warrants was $0.03.</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(the “JOBS Act”) and, as such, we have elected to comply with certain reduced public company reporting requirements for this prospectus and future filings with the Securities and Exchange Commission.</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prospectus, together with additional information described under the heading “Where You Can Find More Information”, and any amendments or supplements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left="120" w:right="60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COMMON STOCK INVOLVES SUBSTANTIAL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BEGINNING ON PAGE 14 OF THIS PROSPECTUS.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18, 2026</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22"/>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FREQUENTLY USED TERMS</w:t>
            </w:r>
          </w:p>
        </w:tc>
        <w:tc>
          <w:tcPr>
            <w:tcW w:w="82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848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16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74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DIRECTORS AND EXECUTIVE OFFICERS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4220" w:type="dxa"/>
            <w:vAlign w:val="bottom"/>
            <w:tcBorders>
              <w:top w:val="single" w:sz="8" w:color="0000EE"/>
            </w:tcBorders>
            <w:gridSpan w:val="9"/>
          </w:tcPr>
          <w:p>
            <w:pPr>
              <w:spacing w:after="0"/>
              <w:rPr>
                <w:sz w:val="17"/>
                <w:szCs w:val="17"/>
                <w:color w:val="auto"/>
              </w:rPr>
            </w:pPr>
          </w:p>
        </w:tc>
        <w:tc>
          <w:tcPr>
            <w:tcW w:w="38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4000" w:type="dxa"/>
            <w:vAlign w:val="bottom"/>
            <w:tcBorders>
              <w:top w:val="single" w:sz="8" w:color="0000EE"/>
            </w:tcBorders>
            <w:gridSpan w:val="13"/>
          </w:tcPr>
          <w:p>
            <w:pPr>
              <w:spacing w:after="0"/>
              <w:rPr>
                <w:sz w:val="17"/>
                <w:szCs w:val="17"/>
                <w:color w:val="auto"/>
              </w:rPr>
            </w:pPr>
          </w:p>
        </w:tc>
        <w:tc>
          <w:tcPr>
            <w:tcW w:w="51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TRANSFER AGENT AND REGISTRAR</w:t>
            </w:r>
          </w:p>
        </w:tc>
        <w:tc>
          <w:tcPr>
            <w:tcW w:w="750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6"/>
        </w:trPr>
        <w:tc>
          <w:tcPr>
            <w:tcW w:w="105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3"/>
          </w:tcPr>
          <w:p>
            <w:pPr>
              <w:spacing w:after="0"/>
              <w:rPr>
                <w:sz w:val="17"/>
                <w:szCs w:val="17"/>
                <w:color w:val="auto"/>
              </w:rPr>
            </w:pPr>
          </w:p>
        </w:tc>
        <w:tc>
          <w:tcPr>
            <w:tcW w:w="6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September 22, 2025, we consummated the previously-announced Business Combination pursuant to the Merger Agreement, by and among us, Merger Sub and Legacy Semnur. Pursuant to the terms of the Merger Agreement, we effected a deregistration under the Cayman Islands Companies Act (as revised) and a domestication under Section 388 of the Delaware General Corporation Law, as amended (the “DGCL”), pursuant to which our jurisdiction of incorporation was changed from the Cayman Islands to the State of Delaware (the “Domestication”), and, on the terms and subject to the conditions set forth in the Merger Agreement and in accordance with the DGCL, Merger Sub merged with and into Legacy Semnur (the “Merger” or the “Business Combination”), with Legacy Semnur surviving as our wholly owned subsidiary. In connection with the Business Combination, we changed our name from Denali Capital Acquisition Corp. to Semnur Pharmaceuticals, Inc.</w:t>
      </w:r>
    </w:p>
    <w:p>
      <w:pPr>
        <w:spacing w:after="0" w:line="18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“Semnur,” “we,” “us,” “our,” and similar terms refer to Semnur Pharmaceuticals, Inc., a Delaware corporation formerly known as Denali Capital Acquisition Corp., and its consolidated subsidiaries. References to “Legacy Semnur” refer to the private Delaware corporation that is now our wholly owned subsidiary, named Semnur, Inc. (formerly known as Semnur Pharmaceuticals, Inc.).</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for purposes of federal securities laws. Such statements can be identified by the fact that they do not relate strictly to historical or current facts. Forward-looking statements appear in a number of places in this prospectus including, without limitation, in the sections of 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In addition, any statements that refer to projections, forecasts or other characterizations of future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prospectus and our management’s current expectations, forecasts and assumptions, and involve a number of judgments, known and unknown risks, uncertainties or other assumptions and other factors, many of which are outside the control of the Company and our directors, officers and affiliates, that may cause actual results or performance to be materially different from those expressed or implied by these forward-looking statements. These risks and uncertainties include, but are not limited to, those factors described under the heading “Risk Factors” in this prospectus. There can be no assurance that future developments will be those that have been anticipated. Accordingly, forward-looking statements should not be relied upon as representing our views as of any subsequent date.</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those discussed and identified in public filings made with the SEC by Semnur and the following:</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the listing of our Common Stock on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liquidity and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future issuances of equity or convertible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revenue, costs of revenue and operating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use of equity or debt financings to execute our business strategy;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cash on hand to meet current and future financial obligations, including funding our operations, debt service requirements and capital expenditures;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directors, officers, employees and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in a highly competitive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from larger biotechnology companies that have greater resources, technology, relationships and/or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and enhance our corporate reputation and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future regulatory, judicial and legislative changes in our industry;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regulatory and legal developments in the United States and foreign countries in which we may seek regulatory approval for our product candidates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any of our products and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research, discover and develop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not infringe on the rights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respond to, and recover from a cybersecurity incident;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global economic and political developments, including the conflicts in Ukraine and Israel;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crypto assets and crypto asset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we are an investment company under the Investment Company Act of 1940;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adopt and execute on our new cryptocurrency treasury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accounting treatment of cryptocurrency holdings;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of this prospectus titled “Risk Factors.”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Semnur prove incorrect, actual results may vary in material respects from those projected in these forward-looking statements.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in this prospectus, the terms,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Semnur</w:t>
      </w:r>
      <w:r>
        <w:rPr>
          <w:rFonts w:ascii="Times New Roman" w:cs="Times New Roman" w:eastAsia="Times New Roman" w:hAnsi="Times New Roman"/>
          <w:sz w:val="18"/>
          <w:szCs w:val="18"/>
          <w:color w:val="auto"/>
        </w:rPr>
        <w:t>” refer to Semnur Pharmaceuticals, Inc.</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Further, in this document:</w:t>
      </w:r>
    </w:p>
    <w:p>
      <w:pPr>
        <w:spacing w:after="0" w:line="12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Stock Option Plan</w:t>
      </w:r>
      <w:r>
        <w:rPr>
          <w:rFonts w:ascii="Times New Roman" w:cs="Times New Roman" w:eastAsia="Times New Roman" w:hAnsi="Times New Roman"/>
          <w:sz w:val="18"/>
          <w:szCs w:val="18"/>
          <w:color w:val="auto"/>
        </w:rPr>
        <w:t>” means the Semnur Pharmaceuticals, Inc. 2024 Stock Option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Biconomy</w:t>
      </w:r>
      <w:r>
        <w:rPr>
          <w:rFonts w:ascii="Times New Roman" w:cs="Times New Roman" w:eastAsia="Times New Roman" w:hAnsi="Times New Roman"/>
          <w:sz w:val="18"/>
          <w:szCs w:val="18"/>
          <w:color w:val="auto"/>
        </w:rPr>
        <w:t>” means Biconomy PTE.LTD.</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Biconomy Shares</w:t>
      </w:r>
      <w:r>
        <w:rPr>
          <w:rFonts w:ascii="Times New Roman" w:cs="Times New Roman" w:eastAsia="Times New Roman" w:hAnsi="Times New Roman"/>
          <w:sz w:val="18"/>
          <w:szCs w:val="18"/>
          <w:color w:val="auto"/>
        </w:rPr>
        <w:t>” means the 6,250,000 shares of Common Stock that will become issuable to Biconomy upon the closing of the Biconomy SPA.</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Biconomy SPA</w:t>
      </w:r>
      <w:r>
        <w:rPr>
          <w:rFonts w:ascii="Times New Roman" w:cs="Times New Roman" w:eastAsia="Times New Roman" w:hAnsi="Times New Roman"/>
          <w:sz w:val="18"/>
          <w:szCs w:val="18"/>
          <w:color w:val="auto"/>
        </w:rPr>
        <w:t>” means the Securities Purchase Agreement, dated as of September 23, 2025, by and between Biconomy and Semnur.</w:t>
      </w:r>
    </w:p>
    <w:p>
      <w:pPr>
        <w:spacing w:after="0" w:line="130"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Biconomy Resale Shares</w:t>
      </w:r>
      <w:r>
        <w:rPr>
          <w:rFonts w:ascii="Times New Roman" w:cs="Times New Roman" w:eastAsia="Times New Roman" w:hAnsi="Times New Roman"/>
          <w:sz w:val="18"/>
          <w:szCs w:val="18"/>
          <w:color w:val="auto"/>
        </w:rPr>
        <w:t>” means the 12,500,000 shares of Common Stock sold to Biconomy PTE.LTD by Scilex and Scilex, Inc. pursuant to the Biconomy Resale SPA, .</w:t>
      </w:r>
    </w:p>
    <w:p>
      <w:pPr>
        <w:spacing w:after="0" w:line="63" w:lineRule="exact"/>
        <w:rPr>
          <w:rFonts w:ascii="Times New Roman" w:cs="Times New Roman" w:eastAsia="Times New Roman" w:hAnsi="Times New Roman"/>
          <w:sz w:val="18"/>
          <w:szCs w:val="18"/>
          <w:color w:val="auto"/>
        </w:rPr>
      </w:pPr>
    </w:p>
    <w:p>
      <w:pPr>
        <w:ind w:left="1080" w:right="40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Biconomy Resale SPA</w:t>
      </w:r>
      <w:r>
        <w:rPr>
          <w:rFonts w:ascii="Times New Roman" w:cs="Times New Roman" w:eastAsia="Times New Roman" w:hAnsi="Times New Roman"/>
          <w:sz w:val="18"/>
          <w:szCs w:val="18"/>
          <w:color w:val="auto"/>
        </w:rPr>
        <w:t>” means the Securities Purchase Agreement, dated as of September 23, 2025, by and among Biconomy, Scilex, Scilex, Inc. and Semnur, solely with respect to Section 5 thereof.</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Semnur.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merger and transactions contemplated by the Merger Agreement, which closed on September 22,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Bylaws of Semnur Pharmaceuticals, Inc., effective as of September 22, 2025.</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Certificate of Designations</w:t>
      </w:r>
      <w:r>
        <w:rPr>
          <w:rFonts w:ascii="Times New Roman" w:cs="Times New Roman" w:eastAsia="Times New Roman" w:hAnsi="Times New Roman"/>
          <w:sz w:val="18"/>
          <w:szCs w:val="18"/>
          <w:color w:val="auto"/>
        </w:rPr>
        <w:t>” means the Certificate of Designations of Semnur Pharmaceuticals, Inc. designating the series of preferred stock, par value $0.0001 per share, of the Company as “Series A Preferred Stock”.</w:t>
      </w:r>
    </w:p>
    <w:p>
      <w:pPr>
        <w:spacing w:after="0" w:line="63" w:lineRule="exact"/>
        <w:rPr>
          <w:rFonts w:ascii="Times New Roman" w:cs="Times New Roman" w:eastAsia="Times New Roman" w:hAnsi="Times New Roman"/>
          <w:sz w:val="18"/>
          <w:szCs w:val="18"/>
          <w:color w:val="auto"/>
        </w:rPr>
      </w:pPr>
    </w:p>
    <w:p>
      <w:pPr>
        <w:ind w:left="1080" w:right="62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means the Restated Certificate of Incorporation of Semnur Pharmaceuticals, Inc., filed with the Secretary of the State of Delaware on September 22, 2025.</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date of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common stock of Semnur,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 Boral</w:t>
      </w:r>
      <w:r>
        <w:rPr>
          <w:rFonts w:ascii="Times New Roman" w:cs="Times New Roman" w:eastAsia="Times New Roman" w:hAnsi="Times New Roman"/>
          <w:sz w:val="18"/>
          <w:szCs w:val="18"/>
          <w:color w:val="auto"/>
        </w:rPr>
        <w:t>” means D. Boral Capital, LLC, f/k/a EF Hutton LLC.</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Exchange Agreement</w:t>
      </w:r>
      <w:r>
        <w:rPr>
          <w:rFonts w:ascii="Times New Roman" w:cs="Times New Roman" w:eastAsia="Times New Roman" w:hAnsi="Times New Roman"/>
          <w:sz w:val="18"/>
          <w:szCs w:val="18"/>
          <w:color w:val="auto"/>
        </w:rPr>
        <w:t>” means the Contribution and Satisfaction of Indebtedness Agreement, dated as of August 30, 2024, by and between Semnur and Scilex.</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Denali</w:t>
      </w:r>
      <w:r>
        <w:rPr>
          <w:rFonts w:ascii="Times New Roman" w:cs="Times New Roman" w:eastAsia="Times New Roman" w:hAnsi="Times New Roman"/>
          <w:sz w:val="18"/>
          <w:szCs w:val="18"/>
          <w:color w:val="auto"/>
        </w:rPr>
        <w:t>” means Denali Capital Acquisition Corp., our predecessor.</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4"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Denali Private Placement Units</w:t>
      </w:r>
      <w:r>
        <w:rPr>
          <w:rFonts w:ascii="Times New Roman" w:cs="Times New Roman" w:eastAsia="Times New Roman" w:hAnsi="Times New Roman"/>
          <w:sz w:val="18"/>
          <w:szCs w:val="18"/>
          <w:color w:val="auto"/>
        </w:rPr>
        <w:t>” means the units comprised of one ordinary share of Denali and one warrant to purchase one ordinary share that were issued to the Sponsor in a private placement concurrent with the IPO.</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Domestication</w:t>
      </w:r>
      <w:r>
        <w:rPr>
          <w:rFonts w:ascii="Times New Roman" w:cs="Times New Roman" w:eastAsia="Times New Roman" w:hAnsi="Times New Roman"/>
          <w:sz w:val="18"/>
          <w:szCs w:val="18"/>
          <w:color w:val="auto"/>
        </w:rPr>
        <w:t>” means the change of the domicile of Denali pursuant to a transfer by way of continuation of an exempted company out of the Cayman Islands and a domestication into the State of Delaware as a corporation, and the de-registration of Denali in the Cayman Islands.</w:t>
      </w:r>
    </w:p>
    <w:p>
      <w:pPr>
        <w:spacing w:after="0" w:line="7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time at which the Business Combination became effective.</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refers to the initial public offering of 8,250,000 Public Units of Denali consummated on April 11,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 Listing Rules</w:t>
      </w:r>
      <w:r>
        <w:rPr>
          <w:rFonts w:ascii="Times New Roman" w:cs="Times New Roman" w:eastAsia="Times New Roman" w:hAnsi="Times New Roman"/>
          <w:sz w:val="18"/>
          <w:szCs w:val="18"/>
          <w:color w:val="auto"/>
        </w:rPr>
        <w:t>” means the rules and listing standards of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Oramed</w:t>
      </w:r>
      <w:r>
        <w:rPr>
          <w:rFonts w:ascii="Times New Roman" w:cs="Times New Roman" w:eastAsia="Times New Roman" w:hAnsi="Times New Roman"/>
          <w:sz w:val="18"/>
          <w:szCs w:val="18"/>
          <w:color w:val="auto"/>
        </w:rPr>
        <w:t>” means Oramed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Oramed Note</w:t>
      </w:r>
      <w:r>
        <w:rPr>
          <w:rFonts w:ascii="Times New Roman" w:cs="Times New Roman" w:eastAsia="Times New Roman" w:hAnsi="Times New Roman"/>
          <w:sz w:val="18"/>
          <w:szCs w:val="18"/>
          <w:color w:val="auto"/>
        </w:rPr>
        <w:t>” means that certain Senior Secured Promissory Note, dated September 21, 2023, issued by Scilex to Oramed,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OTC Markets</w:t>
      </w:r>
      <w:r>
        <w:rPr>
          <w:rFonts w:ascii="Times New Roman" w:cs="Times New Roman" w:eastAsia="Times New Roman" w:hAnsi="Times New Roman"/>
          <w:sz w:val="18"/>
          <w:szCs w:val="18"/>
          <w:color w:val="auto"/>
        </w:rPr>
        <w:t>” means the OTC Markets Group, Inc.</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OTC Markets Listing Date</w:t>
      </w:r>
      <w:r>
        <w:rPr>
          <w:rFonts w:ascii="Times New Roman" w:cs="Times New Roman" w:eastAsia="Times New Roman" w:hAnsi="Times New Roman"/>
          <w:sz w:val="18"/>
          <w:szCs w:val="18"/>
          <w:color w:val="auto"/>
        </w:rPr>
        <w:t>” means the first date on which the Public Units, Denali Class A Ordinary Shares and Public Warrants commenced trading on the OTC Markets.</w:t>
      </w:r>
    </w:p>
    <w:p>
      <w:pPr>
        <w:spacing w:after="0" w:line="63" w:lineRule="exact"/>
        <w:rPr>
          <w:rFonts w:ascii="Times New Roman" w:cs="Times New Roman" w:eastAsia="Times New Roman" w:hAnsi="Times New Roman"/>
          <w:sz w:val="18"/>
          <w:szCs w:val="18"/>
          <w:color w:val="auto"/>
        </w:rPr>
      </w:pPr>
    </w:p>
    <w:p>
      <w:pPr>
        <w:ind w:left="1080" w:right="60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means all shares of preferred stock, including the Series A Preferred Stock, and the undesignated preferred stock authorized by the Charter.</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Warrants</w:t>
      </w:r>
      <w:r>
        <w:rPr>
          <w:rFonts w:ascii="Times New Roman" w:cs="Times New Roman" w:eastAsia="Times New Roman" w:hAnsi="Times New Roman"/>
          <w:sz w:val="18"/>
          <w:szCs w:val="18"/>
          <w:color w:val="auto"/>
        </w:rPr>
        <w:t>” means the redeemable warrants that were included in the Denali Private Placement Units.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redeemable warrants that were included in the Public Units that entitle the holder of each whole warrant to purchase one share of Common Stock at a price of $11.50 per share.</w:t>
      </w:r>
    </w:p>
    <w:p>
      <w:pPr>
        <w:spacing w:after="0" w:line="63" w:lineRule="exact"/>
        <w:rPr>
          <w:rFonts w:ascii="Times New Roman" w:cs="Times New Roman" w:eastAsia="Times New Roman" w:hAnsi="Times New Roman"/>
          <w:sz w:val="18"/>
          <w:szCs w:val="18"/>
          <w:color w:val="auto"/>
        </w:rPr>
      </w:pPr>
    </w:p>
    <w:p>
      <w:pPr>
        <w:ind w:left="1080" w:right="66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Amended and Restated Registration Rights Agreement entered into by and among the Company, Scilex, the Sponsor and certain shareholders of the Company, dated as of the Closing Date.</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Scilex</w:t>
      </w:r>
      <w:r>
        <w:rPr>
          <w:rFonts w:ascii="Times New Roman" w:cs="Times New Roman" w:eastAsia="Times New Roman" w:hAnsi="Times New Roman"/>
          <w:sz w:val="18"/>
          <w:szCs w:val="18"/>
          <w:color w:val="auto"/>
        </w:rPr>
        <w:t>” means Scilex Holding Company, a Delaware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Scilex Bio</w:t>
      </w:r>
      <w:r>
        <w:rPr>
          <w:rFonts w:ascii="Times New Roman" w:cs="Times New Roman" w:eastAsia="Times New Roman" w:hAnsi="Times New Roman"/>
          <w:sz w:val="18"/>
          <w:szCs w:val="18"/>
          <w:color w:val="auto"/>
        </w:rPr>
        <w:t>” means Scilex Bio, Inc., a Delaware company and majority owned subsidiary of Scilex.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Scilex, Inc.</w:t>
      </w:r>
      <w:r>
        <w:rPr>
          <w:rFonts w:ascii="Times New Roman" w:cs="Times New Roman" w:eastAsia="Times New Roman" w:hAnsi="Times New Roman"/>
          <w:sz w:val="18"/>
          <w:szCs w:val="18"/>
          <w:color w:val="auto"/>
        </w:rPr>
        <w:t>” means Scilex, Inc., a Delaware company and wholly owned subsidiary of Scilex.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Scilex Group</w:t>
      </w:r>
      <w:r>
        <w:rPr>
          <w:rFonts w:ascii="Times New Roman" w:cs="Times New Roman" w:eastAsia="Times New Roman" w:hAnsi="Times New Roman"/>
          <w:sz w:val="18"/>
          <w:szCs w:val="18"/>
          <w:color w:val="auto"/>
        </w:rPr>
        <w:t>” means Scilex together with its affiliates, subsidiaries, successors and assigns (other than Semnur and its subsidiaries).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Scilex Trigger Event</w:t>
      </w:r>
      <w:r>
        <w:rPr>
          <w:rFonts w:ascii="Times New Roman" w:cs="Times New Roman" w:eastAsia="Times New Roman" w:hAnsi="Times New Roman"/>
          <w:sz w:val="18"/>
          <w:szCs w:val="18"/>
          <w:color w:val="auto"/>
        </w:rPr>
        <w:t>” means the time that the Scilex Group first ceases to beneficially own more than 50% in voting power of the then-outstanding shares of stock of Semnur entitled to vote generally in the election of directors.</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means the selling warrantholder and the selling stockholders named in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Semnur</w:t>
      </w:r>
      <w:r>
        <w:rPr>
          <w:rFonts w:ascii="Times New Roman" w:cs="Times New Roman" w:eastAsia="Times New Roman" w:hAnsi="Times New Roman"/>
          <w:sz w:val="18"/>
          <w:szCs w:val="18"/>
          <w:color w:val="auto"/>
        </w:rPr>
        <w:t>” means Semnur Pharmaceuticals,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line="284"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Stock</w:t>
      </w:r>
      <w:r>
        <w:rPr>
          <w:rFonts w:ascii="Times New Roman" w:cs="Times New Roman" w:eastAsia="Times New Roman" w:hAnsi="Times New Roman"/>
          <w:sz w:val="18"/>
          <w:szCs w:val="18"/>
          <w:color w:val="auto"/>
        </w:rPr>
        <w:t>” means the preferred stock, par value $0.0001 per share, of the Company, designated as Series A Preferred Stock pursuant to the Certificate of Designations.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w:t>
      </w:r>
      <w:r>
        <w:rPr>
          <w:rFonts w:ascii="Times New Roman" w:cs="Times New Roman" w:eastAsia="Times New Roman" w:hAnsi="Times New Roman"/>
          <w:sz w:val="18"/>
          <w:szCs w:val="18"/>
          <w:color w:val="auto"/>
        </w:rPr>
        <w:t>” means Denali Capital Global Investments LLC, a Cayman Islands limited liability company.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Convertible Promissory Note</w:t>
      </w:r>
      <w:r>
        <w:rPr>
          <w:rFonts w:ascii="Times New Roman" w:cs="Times New Roman" w:eastAsia="Times New Roman" w:hAnsi="Times New Roman"/>
          <w:sz w:val="18"/>
          <w:szCs w:val="18"/>
          <w:color w:val="auto"/>
        </w:rPr>
        <w:t>” means the convertible promissory note dated April 2, 2024, by and between Denali and the Sponsor in the total principal amount of $2,000,000, which bore interest equivalent to the lowest short-term applicable federal rate and were previously convertible in whole or in part into additional Denali Class A Ordinary Shares at a conversion price of $10.00 per ordinary share.</w:t>
      </w:r>
    </w:p>
    <w:p>
      <w:pPr>
        <w:spacing w:after="0" w:line="85"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Extension Convertible Promissory Note</w:t>
      </w:r>
      <w:r>
        <w:rPr>
          <w:rFonts w:ascii="Times New Roman" w:cs="Times New Roman" w:eastAsia="Times New Roman" w:hAnsi="Times New Roman"/>
          <w:sz w:val="18"/>
          <w:szCs w:val="18"/>
          <w:color w:val="auto"/>
        </w:rPr>
        <w:t>” means the convertible promissory note dated July 10, 2024, by and between Denali and the Sponsor in the total principal amount of $180,000, which bore no interest and was previously convertible in whole or in part into additional Denali Class A Ordinary Shares at a conversion price of $10.00 per ordinary share.</w:t>
      </w:r>
    </w:p>
    <w:p>
      <w:pPr>
        <w:spacing w:after="0" w:line="78" w:lineRule="exact"/>
        <w:rPr>
          <w:rFonts w:ascii="Times New Roman" w:cs="Times New Roman" w:eastAsia="Times New Roman" w:hAnsi="Times New Roman"/>
          <w:sz w:val="18"/>
          <w:szCs w:val="18"/>
          <w:color w:val="auto"/>
        </w:rPr>
      </w:pPr>
    </w:p>
    <w:p>
      <w:pPr>
        <w:ind w:left="1080" w:right="200" w:hanging="424"/>
        <w:spacing w:after="0" w:line="28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Interest Purchase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SIPA</w:t>
      </w:r>
      <w:r>
        <w:rPr>
          <w:rFonts w:ascii="Times New Roman" w:cs="Times New Roman" w:eastAsia="Times New Roman" w:hAnsi="Times New Roman"/>
          <w:sz w:val="18"/>
          <w:szCs w:val="18"/>
          <w:color w:val="auto"/>
        </w:rPr>
        <w:t>” means the Sponsor Interest Purchase Agreement, dated as of August 30, 2024, by and between Denali and Scilex.</w:t>
      </w:r>
    </w:p>
    <w:p>
      <w:pPr>
        <w:spacing w:after="0" w:line="63"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Sponsor Support Agreement</w:t>
      </w:r>
      <w:r>
        <w:rPr>
          <w:rFonts w:ascii="Times New Roman" w:cs="Times New Roman" w:eastAsia="Times New Roman" w:hAnsi="Times New Roman"/>
          <w:sz w:val="18"/>
          <w:szCs w:val="18"/>
          <w:color w:val="auto"/>
        </w:rPr>
        <w:t xml:space="preserve">” means the Sponsor Support Agreement, dated as of August 30, 2024, by and among Denali and each of the persons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thereto.</w:t>
      </w:r>
    </w:p>
    <w:p>
      <w:pPr>
        <w:spacing w:after="0" w:line="6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 Agreement</w:t>
      </w:r>
      <w:r>
        <w:rPr>
          <w:rFonts w:ascii="Times New Roman" w:cs="Times New Roman" w:eastAsia="Times New Roman" w:hAnsi="Times New Roman"/>
          <w:sz w:val="18"/>
          <w:szCs w:val="18"/>
          <w:color w:val="auto"/>
        </w:rPr>
        <w:t>” means the Stockholder Agreement, dated as of August 30, 2024, by and between Denali and Scilex.</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Underwriter Shares”</w:t>
      </w:r>
      <w:r>
        <w:rPr>
          <w:rFonts w:ascii="Times New Roman" w:cs="Times New Roman" w:eastAsia="Times New Roman" w:hAnsi="Times New Roman"/>
          <w:sz w:val="18"/>
          <w:szCs w:val="18"/>
          <w:color w:val="auto"/>
        </w:rPr>
        <w:t xml:space="preserve"> means up to 100,000 shares issued to certain underwriters of the initial public offering of Denali upon consummation of the Business Combination as part of a deferred underwriting discount pursuant to that certain Deferred Discount Agreement, dated November 20, 2023, by and among Denali, US Tiger Securities and D. Boral Capital, LLC, and as subsequently amended by the Satisfaction and Discharge Agreements Denali entered into with each of US Tiger Securities and D. Boral Capital, LLC on September 22, 2025 immediately prior to the consummation of the Business Combination.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Tiger Securities</w:t>
      </w:r>
      <w:r>
        <w:rPr>
          <w:rFonts w:ascii="Times New Roman" w:cs="Times New Roman" w:eastAsia="Times New Roman" w:hAnsi="Times New Roman"/>
          <w:sz w:val="18"/>
          <w:szCs w:val="18"/>
          <w:color w:val="auto"/>
        </w:rPr>
        <w:t>” or “US Tiger” means US Tiger Securities, Inc. the representative of the underwriters in the IPO.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VStock</w:t>
      </w:r>
      <w:r>
        <w:rPr>
          <w:rFonts w:ascii="Times New Roman" w:cs="Times New Roman" w:eastAsia="Times New Roman" w:hAnsi="Times New Roman"/>
          <w:sz w:val="18"/>
          <w:szCs w:val="18"/>
          <w:color w:val="auto"/>
        </w:rPr>
        <w:t>” means VStock Transfer, LLC, Denali’s transfer agent.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4"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means together the Private Warrants and the Public Warrants, that entitle the holder thereof to purchase one share of Semnur at an exercise price of $11.50 per share.</w:t>
      </w:r>
    </w:p>
    <w:p>
      <w:pPr>
        <w:spacing w:after="0" w:line="63" w:lineRule="exact"/>
        <w:rPr>
          <w:rFonts w:ascii="Times New Roman" w:cs="Times New Roman" w:eastAsia="Times New Roman" w:hAnsi="Times New Roman"/>
          <w:sz w:val="18"/>
          <w:szCs w:val="18"/>
          <w:color w:val="auto"/>
        </w:rPr>
      </w:pPr>
    </w:p>
    <w:p>
      <w:pPr>
        <w:ind w:left="5580" w:hanging="4924"/>
        <w:spacing w:after="0" w:line="456" w:lineRule="auto"/>
        <w:tabs>
          <w:tab w:leader="none" w:pos="10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Working Capital Loans</w:t>
      </w:r>
      <w:r>
        <w:rPr>
          <w:rFonts w:ascii="Times New Roman" w:cs="Times New Roman" w:eastAsia="Times New Roman" w:hAnsi="Times New Roman"/>
          <w:sz w:val="18"/>
          <w:szCs w:val="18"/>
          <w:color w:val="auto"/>
        </w:rPr>
        <w:t>” means (i) the Sponsor Convertible Promissory Note and (ii) the Sponsor Extension Convertible Promissory Note. 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in this prospectus. Because it is only a summary, it does not contain all of the information you should consider before investing in our securities and it is qualified in its entirety by, and should be read in conjunction with, the more detailed information included elsewhere in this prospectus. Before you decide whether to purchase our securities, you should read this entire prospectus carefully, including the sections of this prospectus titled “Risk Factors” and “Management’s Discussion and Analysis of Financial Condition and Results of Operations.” You should also carefully read the information in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7"/>
          <w:szCs w:val="17"/>
          <w:color w:val="auto"/>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(“SP-102” or “SEMDEXA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if approved, has the potential to become the first U.S. Food and Drug Administration (“FDA”) approved non-opioid novel injectable corticosteroid gel formulation for patients with moderate to severe lumbosacral radicular pain (“LRP”) (also known as sciatica), containing no preservatives, surfactants, solvents, or particulates and is expected to be available in a pre-filled syringe formulation following approval by the FDA.</w:t>
      </w:r>
    </w:p>
    <w:p>
      <w:pPr>
        <w:spacing w:after="0" w:line="192"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We are developing SP-102 to be an injectable viscous gel formulation of a widely used corticosteroid designed to address the serious risks posed by off-label epidural steroid injections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guiding principle has always been and remains a patient-first approach, which drives its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its innovative and leading therapies. We believe that we have made substantial progress in demonstrating the rapid onset and enhanced tolerability of our product candidate.</w:t>
      </w:r>
    </w:p>
    <w:p>
      <w:pPr>
        <w:spacing w:after="0" w:line="183"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With SP-102 we plan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excipient in lieu of particulates. The product is also formulated without the use of preservatives and packaged in a pre-filled syringe, so as to confer greater physician convenience.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On September 22, 2025, we consummated the Business Combination pursuant to the terms of the Merger Agreement, by and among Denali, Merger Sub and Legacy Semnur.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(i) prior to the Closing, Denali effected the Domestication and (ii) at the Closing, and following the Domestication, the parties effected the Merger, with Legacy Semnur as the surviving company in the Merger, and, after giving effect to such Merger, Legacy Semnur became a wholly owned subsidiary of Denali. The Merger was approved by Denali’s shareholders at a meeting held on September 3, 2025 (the “Denali Shareholder Meeting”). In connection with the Business Combination, Denali changed its name to “Semnur Pharmaceuticals, Inc.”</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at the time at which the Business Combination became effective (the “Effective Time”), (i) each outstanding share of Legacy Semnur Common Stock outstanding immediately prior to the Effective Time was automatically cancelled in exchange for the right to receive 1.25 shares of our Common Stock, (ii) each share of Legacy Semnur Preferred Stock outstanding immediately prior to the Effective Time was cancelled in exchange for the right to receive (a) one share of Series A Preferred Stock (as defined below) and (b) one-tenth of one share of our Common Stock, and (iii) each option to purchase shares of Legacy Semnur Common Stock outstanding as of immediately prior to the Effective Time was converted into the right to receive a comparable option to purchase shares of our Common Stock.</w:t>
      </w:r>
    </w:p>
    <w:p>
      <w:pPr>
        <w:spacing w:after="0" w:line="18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are currently traded on the Pink Limited Market of the OTC Markets under the symbols “SMNR” and “SMNRW,” respectively.</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rights of holders of our Common Stock and Warrants (as defined below) are governed by the Certificate of Incorporation, the Bylaws and the DGCL, and, in the case of the Warrants, the Warrant Agreement (the “Warrant Agreement”), dated as of April 6, 2022, between Denali and VStock Transfer, LLC (“VStock”). See sections of this prospectus 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w:t>
      </w:r>
    </w:p>
    <w:p>
      <w:pPr>
        <w:spacing w:after="0" w:line="3" w:lineRule="exact"/>
        <w:rPr>
          <w:sz w:val="20"/>
          <w:szCs w:val="20"/>
          <w:color w:val="auto"/>
        </w:rPr>
      </w:pPr>
    </w:p>
    <w:p>
      <w:pPr>
        <w:ind w:left="300" w:right="160"/>
        <w:spacing w:after="0" w:line="253" w:lineRule="auto"/>
        <w:rPr>
          <w:sz w:val="20"/>
          <w:szCs w:val="20"/>
          <w:color w:val="auto"/>
        </w:rPr>
      </w:pPr>
      <w:r>
        <w:rPr>
          <w:rFonts w:ascii="Times New Roman" w:cs="Times New Roman" w:eastAsia="Times New Roman" w:hAnsi="Times New Roman"/>
          <w:sz w:val="18"/>
          <w:szCs w:val="18"/>
          <w:color w:val="auto"/>
        </w:rPr>
        <w:t>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as more fully described in the section of this prospectus titled “</w:t>
      </w:r>
      <w:r>
        <w:rPr>
          <w:rFonts w:ascii="Times New Roman" w:cs="Times New Roman" w:eastAsia="Times New Roman" w:hAnsi="Times New Roman"/>
          <w:sz w:val="18"/>
          <w:szCs w:val="18"/>
          <w:i w:val="1"/>
          <w:iCs w:val="1"/>
          <w:color w:val="auto"/>
        </w:rPr>
        <w:t>Management’s Discussion and Analysis of Financial Condition and Results of Operations — Emerging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Growth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3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9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2960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initial public offering of 8,250,000 Public Units of Denali consummated on April 11, 2022 (the “IPO”),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Limited Operating History, Financial Condition and Capital Requirements</w:t>
      </w:r>
    </w:p>
    <w:p>
      <w:pPr>
        <w:spacing w:after="0" w:line="135" w:lineRule="exact"/>
        <w:rPr>
          <w:sz w:val="20"/>
          <w:szCs w:val="20"/>
          <w:color w:val="auto"/>
        </w:rPr>
      </w:pPr>
    </w:p>
    <w:p>
      <w:pPr>
        <w:ind w:left="1240" w:right="14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late-stage clinical specialty pharmaceutical company and have incurred significant losses since our inception. We anticipate that we will incur continued losses for the foreseeable future.</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one product candidate, SP-102, no products approved for commercial sale, have never generated any revenue from product sales and may never be profitable.</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sales and marketing organization and if we do not establish satisfactory sales and marketing capabilities, we may not successfully commercialize SP-102 or any future product candidates.</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negative cash flows and substantial cumulative net losses raise substantial doubt about our ability to continue as a going concern.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Product Development</w:t>
      </w:r>
    </w:p>
    <w:p>
      <w:pPr>
        <w:spacing w:after="0" w:line="135" w:lineRule="exact"/>
        <w:rPr>
          <w:sz w:val="20"/>
          <w:szCs w:val="20"/>
          <w:color w:val="auto"/>
        </w:rPr>
      </w:pPr>
    </w:p>
    <w:p>
      <w:pPr>
        <w:ind w:left="1240" w:right="60" w:hanging="415"/>
        <w:spacing w:after="0" w:line="26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w:t>
      </w:r>
    </w:p>
    <w:p>
      <w:pPr>
        <w:spacing w:after="0" w:line="85"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clinical trials and intend to rely on third parties to conduct all future clinical trials. If these third parties do not successfully carry out their contractual duties, fail to comply with regulatory requirements or meet expected deadlines, we may be unable to obtain regulatory approvals.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could result in increased costs to us and delay our ability to obtain commercial approval and generate revenue.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for our product candidates and the approval may be for a more narrow indication than we seek.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Operations</w:t>
      </w:r>
    </w:p>
    <w:p>
      <w:pPr>
        <w:spacing w:after="0" w:line="135" w:lineRule="exact"/>
        <w:rPr>
          <w:sz w:val="20"/>
          <w:szCs w:val="20"/>
          <w:color w:val="auto"/>
        </w:rPr>
      </w:pPr>
    </w:p>
    <w:p>
      <w:pPr>
        <w:ind w:left="1240" w:right="3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key executives, it may delay our development efforts and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increase the size of our company and may not effectively manage our growth.</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may incur substantial liabilities and may be required to limit commercialization of our product candidates.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8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50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research and development facilities could adversely affect our business, financial condition and results of operations.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35" w:lineRule="exact"/>
        <w:rPr>
          <w:sz w:val="20"/>
          <w:szCs w:val="20"/>
          <w:color w:val="auto"/>
        </w:rPr>
      </w:pPr>
    </w:p>
    <w:p>
      <w:pPr>
        <w:ind w:left="1240" w:right="52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patent protection for our product candidates, or if the scope of the patent protection obtained is not sufficiently broad, we may not be able to compete effectively in our markets.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intellectual property rights are invalidated or circumvented, our business will be adversely affected.</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agreements with employees may not prevent disclosure of our trade secrets and proprietary information and may not adequately protect our intellectual property, which could limit our ability to compete.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Regulations</w:t>
      </w:r>
    </w:p>
    <w:p>
      <w:pPr>
        <w:spacing w:after="0" w:line="135" w:lineRule="exact"/>
        <w:rPr>
          <w:sz w:val="20"/>
          <w:szCs w:val="20"/>
          <w:color w:val="auto"/>
        </w:rPr>
      </w:pPr>
    </w:p>
    <w:p>
      <w:pPr>
        <w:ind w:left="1240" w:hanging="415"/>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non-U.S. regulatory authorities are time-consuming and unpredictable, and if we are unable to obtain regulatory approval for our product candidates, our business will be substantially harmed. Moreover, gaining approval for a product candidate in one jurisdiction does not ensure approval in other jurisdictions, which could limit our total market.</w:t>
      </w:r>
    </w:p>
    <w:p>
      <w:pPr>
        <w:spacing w:after="0" w:line="85" w:lineRule="exact"/>
        <w:rPr>
          <w:rFonts w:ascii="Times New Roman" w:cs="Times New Roman" w:eastAsia="Times New Roman" w:hAnsi="Times New Roman"/>
          <w:sz w:val="18"/>
          <w:szCs w:val="18"/>
          <w:color w:val="auto"/>
        </w:rPr>
      </w:pPr>
    </w:p>
    <w:p>
      <w:pPr>
        <w:ind w:left="1240" w:right="100" w:hanging="415"/>
        <w:spacing w:after="0" w:line="261"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does not conclude that our product candidate satisfies the requirements for the Section 505(b)(2) regulatory approval pathway, or if the requirements for our product candidate under Section 505(b)(2) are not as we expect, the approval pathway for our product candidate could take significantly longer, cost significantly more and entail greater risks than anticipated, and in either case may not be successful.</w:t>
      </w:r>
    </w:p>
    <w:p>
      <w:pPr>
        <w:spacing w:after="0" w:line="85"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approved product candidate will be subject to ongoing and continued regulatory requirements, which may result in significant expense and limit our ability to commercialize such products.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Relationship with Scilex</w:t>
      </w:r>
    </w:p>
    <w:p>
      <w:pPr>
        <w:spacing w:after="0" w:line="135" w:lineRule="exact"/>
        <w:rPr>
          <w:sz w:val="20"/>
          <w:szCs w:val="20"/>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directors and officers may have conflicts of interest because of their positions with Scilex.</w:t>
      </w:r>
    </w:p>
    <w:p>
      <w:pPr>
        <w:spacing w:after="0" w:line="130"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spacing w:after="0" w:line="85"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Chairperson and Chief Financial Officer each holds an executive officer position at Scilex and devotes time to both companies, which could cause a diversion of their time and attention from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Scilex, whose interests may differ from those of our public shareholders.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35" w:lineRule="exact"/>
        <w:rPr>
          <w:sz w:val="20"/>
          <w:szCs w:val="20"/>
          <w:color w:val="auto"/>
        </w:rPr>
      </w:pPr>
    </w:p>
    <w:p>
      <w:pPr>
        <w:ind w:left="1240" w:right="22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operations and performance do not meet the expectations of investors or securities analysts, the market price of our securities may decline.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82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382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520" w:hanging="415"/>
        <w:spacing w:after="0" w:line="282"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we do not expect to pay cash dividends in the foreseeable future. Any return on investment may be limited to the capital appreciation, if any, of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Cryptocurrency</w:t>
      </w:r>
    </w:p>
    <w:p>
      <w:pPr>
        <w:spacing w:after="0" w:line="135" w:lineRule="exact"/>
        <w:rPr>
          <w:sz w:val="20"/>
          <w:szCs w:val="20"/>
          <w:color w:val="auto"/>
        </w:rPr>
      </w:pPr>
    </w:p>
    <w:p>
      <w:pPr>
        <w:ind w:left="1240" w:right="80" w:hanging="415"/>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use the net proceeds of the Biconomy SPA, which as of the date of this prospectus has not closed and will be paid in Bitcoin, to fund investments in other companies. The price of Bitcoin will likely continue to be highly volatile, which could cause the Company’s share price to significantly fluctuate.</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cryptocurrency treasury strategy has not been implemented or tested.</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digital assets that we hold are classified as a security, we may be subject to extensive regulation, which could result in significant costs or force us to cease operations.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were incorporated under the name “Denali Capital Acquisition Corp.” on January 5, 2022 as a Cayman Islands exempted company for the purpose of effecting a merger, share exchange, asset acquisition, share purchase, reorganization or similar business combination with one or more businesses or entities. On September 22, 2025, we changed our jurisdiction of incorporation by deregistering as a Cayman Islands exempted company and continuing and domesticating as a corporation incorporated under the laws of the State of Delaware. On September 22, 2025, we changed our name to “Semnur Pharmaceuticals, Inc.”</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960 San Antonio Road, Palo Alto, California 94303, and our telephone number is</w:t>
      </w:r>
    </w:p>
    <w:p>
      <w:pPr>
        <w:spacing w:after="0" w:line="27" w:lineRule="exact"/>
        <w:rPr>
          <w:sz w:val="20"/>
          <w:szCs w:val="20"/>
          <w:color w:val="auto"/>
        </w:rPr>
      </w:pPr>
    </w:p>
    <w:p>
      <w:pPr>
        <w:ind w:left="300" w:right="60" w:hanging="2"/>
        <w:spacing w:after="0" w:line="273" w:lineRule="auto"/>
        <w:tabs>
          <w:tab w:leader="none" w:pos="7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516-4310. Our website address is </w:t>
      </w:r>
      <w:r>
        <w:rPr>
          <w:rFonts w:ascii="Times New Roman" w:cs="Times New Roman" w:eastAsia="Times New Roman" w:hAnsi="Times New Roman"/>
          <w:sz w:val="17"/>
          <w:szCs w:val="17"/>
          <w:i w:val="1"/>
          <w:iCs w:val="1"/>
          <w:color w:val="auto"/>
        </w:rPr>
        <w:t>www.semnurpharma.com</w:t>
      </w:r>
      <w:r>
        <w:rPr>
          <w:rFonts w:ascii="Times New Roman" w:cs="Times New Roman" w:eastAsia="Times New Roman" w:hAnsi="Times New Roman"/>
          <w:sz w:val="17"/>
          <w:szCs w:val="17"/>
          <w:color w:val="auto"/>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7"/>
          <w:szCs w:val="17"/>
          <w:i w:val="1"/>
          <w:iCs w:val="1"/>
          <w:color w:val="auto"/>
        </w:rPr>
        <w:t>http://www.sec.gov.</w:t>
      </w:r>
    </w:p>
    <w:p>
      <w:pPr>
        <w:spacing w:after="0" w:line="2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160" w:type="dxa"/>
            <w:vAlign w:val="bottom"/>
            <w:tcBorders>
              <w:top w:val="single" w:sz="8" w:color="auto"/>
              <w:left w:val="single" w:sz="8" w:color="auto"/>
            </w:tcBorders>
          </w:tcPr>
          <w:p>
            <w:pPr>
              <w:spacing w:after="0"/>
              <w:rPr>
                <w:sz w:val="24"/>
                <w:szCs w:val="24"/>
                <w:color w:val="auto"/>
              </w:rPr>
            </w:pPr>
          </w:p>
        </w:tc>
        <w:tc>
          <w:tcPr>
            <w:tcW w:w="68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Issuance of Common Stock by Us</w:t>
            </w:r>
          </w:p>
        </w:tc>
        <w:tc>
          <w:tcPr>
            <w:tcW w:w="6860" w:type="dxa"/>
            <w:vAlign w:val="bottom"/>
            <w:tcBorders>
              <w:right w:val="single" w:sz="8" w:color="auto"/>
            </w:tcBorders>
          </w:tcPr>
          <w:p>
            <w:pPr>
              <w:spacing w:after="0"/>
              <w:rPr>
                <w:sz w:val="24"/>
                <w:szCs w:val="24"/>
                <w:color w:val="auto"/>
              </w:rPr>
            </w:pP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 to 7,432,122 shares, issuable upon the exercise of (i) 510,000 Private Warrants by the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holders thereof and (ii) 6,922,122 Public Warrants by the holders thereof.</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outstanding prior to exercise</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230,209,142 shares of Common Stock.</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 all Warrants(1)</w:t>
            </w:r>
          </w:p>
        </w:tc>
        <w:tc>
          <w:tcPr>
            <w:tcW w:w="6860" w:type="dxa"/>
            <w:vAlign w:val="bottom"/>
            <w:tcBorders>
              <w:right w:val="single" w:sz="8" w:color="auto"/>
            </w:tcBorders>
          </w:tcPr>
          <w:p>
            <w:pPr>
              <w:spacing w:after="0"/>
              <w:rPr>
                <w:sz w:val="20"/>
                <w:szCs w:val="20"/>
                <w:color w:val="auto"/>
              </w:rPr>
            </w:pP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outstanding assuming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237,641,264 shares of Common Stock.</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exercise of all Warrants</w:t>
            </w:r>
          </w:p>
        </w:tc>
        <w:tc>
          <w:tcPr>
            <w:tcW w:w="6860" w:type="dxa"/>
            <w:vAlign w:val="bottom"/>
            <w:tcBorders>
              <w:right w:val="single" w:sz="8" w:color="auto"/>
            </w:tcBorders>
          </w:tcPr>
          <w:p>
            <w:pPr>
              <w:spacing w:after="0"/>
              <w:rPr>
                <w:sz w:val="20"/>
                <w:szCs w:val="20"/>
                <w:color w:val="auto"/>
              </w:rPr>
            </w:pPr>
          </w:p>
        </w:tc>
      </w:tr>
      <w:tr>
        <w:trPr>
          <w:trHeight w:val="473"/>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Exercise price of Warrants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tc>
      </w:tr>
      <w:tr>
        <w:trPr>
          <w:trHeight w:val="454"/>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will receive up to an aggregate of approximately $85.5 million from the exercise of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Warrants, consisting of up to 510,000 Private Warrants and up to 6,922,122 Public</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Warrants, assuming the exercise in full of all of the Warrants for cash. We expect to use the</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net proceeds from the exercise of the Warrants for cash for working capital and general</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corporate purposes, which may include capital expenditures, research and development</w:t>
            </w:r>
          </w:p>
        </w:tc>
      </w:tr>
      <w:tr>
        <w:trPr>
          <w:trHeight w:val="216"/>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expenditures, regulatory affairs expenditures, clinical trial expenditures, acquisitions of</w:t>
            </w:r>
          </w:p>
        </w:tc>
      </w:tr>
      <w:tr>
        <w:trPr>
          <w:trHeight w:val="214"/>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technologies and investments, business combinations and the repayment, refinancing,</w:t>
            </w:r>
          </w:p>
        </w:tc>
      </w:tr>
      <w:tr>
        <w:trPr>
          <w:trHeight w:val="218"/>
        </w:trPr>
        <w:tc>
          <w:tcPr>
            <w:tcW w:w="4160" w:type="dxa"/>
            <w:vAlign w:val="bottom"/>
            <w:tcBorders>
              <w:left w:val="single" w:sz="8" w:color="auto"/>
            </w:tcBorders>
          </w:tcPr>
          <w:p>
            <w:pPr>
              <w:spacing w:after="0"/>
              <w:rPr>
                <w:sz w:val="18"/>
                <w:szCs w:val="18"/>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redemption or repurchase of indebtedness or capital stock.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elsewhere in this prospectus.</w:t>
            </w:r>
          </w:p>
        </w:tc>
      </w:tr>
      <w:tr>
        <w:trPr>
          <w:trHeight w:val="540"/>
        </w:trPr>
        <w:tc>
          <w:tcPr>
            <w:tcW w:w="11020" w:type="dxa"/>
            <w:vAlign w:val="bottom"/>
            <w:tcBorders>
              <w:left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Resale of Common Stock and Private Warrants by the Selling Securityholders</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Shares of Common Stock offered by the Selling</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 to 203,737,349 shares of our Common Stock, consisting of:</w:t>
            </w:r>
          </w:p>
        </w:tc>
      </w:tr>
      <w:tr>
        <w:trPr>
          <w:trHeight w:val="234"/>
        </w:trPr>
        <w:tc>
          <w:tcPr>
            <w:tcW w:w="416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Securityholders</w:t>
            </w:r>
          </w:p>
        </w:tc>
        <w:tc>
          <w:tcPr>
            <w:tcW w:w="6860" w:type="dxa"/>
            <w:vAlign w:val="bottom"/>
            <w:tcBorders>
              <w:right w:val="single" w:sz="8" w:color="auto"/>
            </w:tcBorders>
          </w:tcPr>
          <w:p>
            <w:pPr>
              <w:spacing w:after="0"/>
              <w:rPr>
                <w:sz w:val="20"/>
                <w:szCs w:val="20"/>
                <w:color w:val="auto"/>
              </w:rPr>
            </w:pPr>
          </w:p>
        </w:tc>
      </w:tr>
      <w:tr>
        <w:trPr>
          <w:trHeight w:val="351"/>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up to 2,072,500 Sponsor Shares;</w:t>
            </w:r>
          </w:p>
        </w:tc>
      </w:tr>
      <w:tr>
        <w:trPr>
          <w:trHeight w:val="338"/>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up to 510,000 Private Warrant Shares;</w:t>
            </w:r>
          </w:p>
        </w:tc>
      </w:tr>
      <w:tr>
        <w:trPr>
          <w:trHeight w:val="338"/>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up to 188,554,849 Scilex Shares;</w:t>
            </w:r>
          </w:p>
        </w:tc>
      </w:tr>
      <w:tr>
        <w:trPr>
          <w:trHeight w:val="338"/>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up to 100,000 Underwriter Shares; and</w:t>
            </w:r>
          </w:p>
        </w:tc>
      </w:tr>
      <w:tr>
        <w:trPr>
          <w:trHeight w:val="338"/>
        </w:trPr>
        <w:tc>
          <w:tcPr>
            <w:tcW w:w="416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   up to 12,500,000 Biconomy Resale Shares.</w:t>
            </w:r>
          </w:p>
        </w:tc>
      </w:tr>
      <w:tr>
        <w:trPr>
          <w:trHeight w:val="459"/>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Warrants offered by the Selling Warrantholders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 to 510,000 Private Warrants.</w:t>
            </w:r>
          </w:p>
        </w:tc>
      </w:tr>
      <w:tr>
        <w:trPr>
          <w:trHeight w:val="452"/>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Warrants are redeemable in certain circumstances. See “</w:t>
            </w:r>
            <w:r>
              <w:rPr>
                <w:rFonts w:ascii="Times New Roman" w:cs="Times New Roman" w:eastAsia="Times New Roman" w:hAnsi="Times New Roman"/>
                <w:sz w:val="18"/>
                <w:szCs w:val="18"/>
                <w:i w:val="1"/>
                <w:iCs w:val="1"/>
                <w:color w:val="auto"/>
              </w:rPr>
              <w:t>Description of Securities —</w:t>
            </w:r>
          </w:p>
        </w:tc>
      </w:tr>
      <w:tr>
        <w:trPr>
          <w:trHeight w:val="236"/>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w:t>
            </w:r>
          </w:p>
        </w:tc>
      </w:tr>
      <w:tr>
        <w:trPr>
          <w:trHeight w:val="441"/>
        </w:trPr>
        <w:tc>
          <w:tcPr>
            <w:tcW w:w="41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or Private</w:t>
            </w:r>
          </w:p>
        </w:tc>
      </w:tr>
      <w:tr>
        <w:trPr>
          <w:trHeight w:val="234"/>
        </w:trPr>
        <w:tc>
          <w:tcPr>
            <w:tcW w:w="4160" w:type="dxa"/>
            <w:vAlign w:val="bottom"/>
            <w:tcBorders>
              <w:left w:val="single" w:sz="8" w:color="auto"/>
            </w:tcBorders>
          </w:tcPr>
          <w:p>
            <w:pPr>
              <w:spacing w:after="0"/>
              <w:rPr>
                <w:sz w:val="20"/>
                <w:szCs w:val="20"/>
                <w:color w:val="auto"/>
              </w:rPr>
            </w:pPr>
          </w:p>
        </w:tc>
        <w:tc>
          <w:tcPr>
            <w:tcW w:w="68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Warrants by the Selling Securityholders, except with</w:t>
            </w:r>
          </w:p>
        </w:tc>
      </w:tr>
      <w:tr>
        <w:trPr>
          <w:trHeight w:val="172"/>
        </w:trPr>
        <w:tc>
          <w:tcPr>
            <w:tcW w:w="4160" w:type="dxa"/>
            <w:vAlign w:val="bottom"/>
            <w:tcBorders>
              <w:left w:val="single" w:sz="8" w:color="auto"/>
              <w:bottom w:val="single" w:sz="8" w:color="auto"/>
            </w:tcBorders>
          </w:tcPr>
          <w:p>
            <w:pPr>
              <w:spacing w:after="0"/>
              <w:rPr>
                <w:sz w:val="14"/>
                <w:szCs w:val="14"/>
                <w:color w:val="auto"/>
              </w:rPr>
            </w:pPr>
          </w:p>
        </w:tc>
        <w:tc>
          <w:tcPr>
            <w:tcW w:w="6860" w:type="dxa"/>
            <w:vAlign w:val="bottom"/>
            <w:tcBorders>
              <w:bottom w:val="single" w:sz="8" w:color="auto"/>
              <w:right w:val="single" w:sz="8" w:color="auto"/>
            </w:tcBorders>
          </w:tcPr>
          <w:p>
            <w:pPr>
              <w:spacing w:after="0"/>
              <w:rPr>
                <w:sz w:val="14"/>
                <w:szCs w:val="14"/>
                <w:color w:val="auto"/>
              </w:rPr>
            </w:pPr>
          </w:p>
        </w:tc>
      </w:tr>
      <w:tr>
        <w:trPr>
          <w:trHeight w:val="361"/>
        </w:trPr>
        <w:tc>
          <w:tcPr>
            <w:tcW w:w="4160" w:type="dxa"/>
            <w:vAlign w:val="bottom"/>
          </w:tcPr>
          <w:p>
            <w:pPr>
              <w:spacing w:after="0"/>
              <w:rPr>
                <w:sz w:val="24"/>
                <w:szCs w:val="24"/>
                <w:color w:val="auto"/>
              </w:rPr>
            </w:pPr>
          </w:p>
        </w:tc>
        <w:tc>
          <w:tcPr>
            <w:tcW w:w="686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61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44615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respect to amounts received by us upon the exercise of the Private Warrants for cash.</w:t>
      </w:r>
    </w:p>
    <w:p>
      <w:pPr>
        <w:sectPr>
          <w:pgSz w:w="11900" w:h="16838" w:orient="portrait"/>
          <w:cols w:equalWidth="0" w:num="1">
            <w:col w:w="10920"/>
          </w:cols>
          <w:pgMar w:left="320" w:top="455" w:right="659" w:bottom="1440" w:gutter="0" w:footer="0" w:header="0"/>
        </w:sect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Lock-up restrictions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the securities held by the Selling Securityholders are subject to certain restrictions on transfer until the date that is one year after the Closing Date. See the section of this prospectus titled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Market for our Common Stock and Public Warrants</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trade on the Pink Limited Market of the OTC Markets under the symbols “SMNR” and “SMNRW”, respectively.</w:t>
      </w:r>
    </w:p>
    <w:p>
      <w:pPr>
        <w:spacing w:after="0" w:line="187" w:lineRule="exact"/>
        <w:rPr>
          <w:sz w:val="20"/>
          <w:szCs w:val="20"/>
          <w:color w:val="auto"/>
        </w:rPr>
      </w:pPr>
    </w:p>
    <w:p>
      <w:pPr>
        <w:sectPr>
          <w:pgSz w:w="11900" w:h="16838" w:orient="portrait"/>
          <w:cols w:equalWidth="0" w:num="2">
            <w:col w:w="4020" w:space="320"/>
            <w:col w:w="6580"/>
          </w:cols>
          <w:pgMar w:left="320" w:top="455" w:right="65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2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14 and other information included in this prospectus for a discussion of factors you should carefully consider before deciding to invest in the securities being offered by this prospectus.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91" w:lineRule="exact"/>
        <w:rPr>
          <w:sz w:val="20"/>
          <w:szCs w:val="20"/>
          <w:color w:val="auto"/>
        </w:rPr>
      </w:pPr>
    </w:p>
    <w:p>
      <w:pPr>
        <w:ind w:left="720" w:right="160" w:hanging="422"/>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outstanding assumes that an aggregate of 230,209,142 shares are outstanding as of April 30, 2026, and excludes:</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 shares of Common Stock issuable upon the exercise of stock options outstanding under Semnur’s 2024 Stock Option Plan (the “2024 Stock Option Plan”) with an exercise price of $1.27 per share;</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45,948,195 shares of Common Stock reserved for issuance under Semnur’s 2025 Equity Incentive Plan, subject to shareholder approval;</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2,297,409 shares of Common Stock reserved for issuance under Semnur’s 2025 Employee Stock Purchase Plan, subject to shareholder approval;</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2,400,000 shares of Common Stock reserved for issuance under Semnur’s 2025 Inducement Plan;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6,250,000 shares of Common Stock issuable upon the closing of the transactions contemplated by the Biconomy SPA; and</w:t>
      </w:r>
    </w:p>
    <w:p>
      <w:pPr>
        <w:spacing w:after="0" w:line="130" w:lineRule="exact"/>
        <w:rPr>
          <w:rFonts w:ascii="Times New Roman" w:cs="Times New Roman" w:eastAsia="Times New Roman" w:hAnsi="Times New Roman"/>
          <w:sz w:val="18"/>
          <w:szCs w:val="18"/>
          <w:color w:val="auto"/>
        </w:rPr>
      </w:pPr>
    </w:p>
    <w:p>
      <w:pPr>
        <w:ind w:left="1240" w:right="300" w:hanging="415"/>
        <w:spacing w:after="0" w:line="266" w:lineRule="auto"/>
        <w:tabs>
          <w:tab w:leader="none" w:pos="12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shares of Common Stock issuable upon the closing of the transactions contemplated by that certain securities purchased agreement by and among the Company, Legacy Semnur and the investor named therein, dated as of August 20, 2025 (the “PIPE SPA”).</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320" w:top="455" w:right="6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consider carefully the following risk factors, as well as the other information set forth in this this prospectus, including matters addressed in the section of this prospectus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We may face additional risks and uncertainties that are not presently known to us, or that we currently deem immaterial. The following discussions should be read in conjunction with our consolidated financial statements and the notes to the consolidated financial statements included therein.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late-stage clinical specialty pharmaceutical company and have incurred significant losses since our inception. We anticipate that we will incur continued losses for the foreseeable future.</w:t>
      </w:r>
    </w:p>
    <w:p>
      <w:pPr>
        <w:spacing w:after="0" w:line="5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We are a late-stage clinical biopharmaceutical company focused on developing and commercializing innovative non-opioid pain management products for the treatment of acute and chronic pain, and we have a limited operating history. We have not commenced revenue-producing operations and to date, we have focused on organizing and staffing our company, business planning, raising capital, identifying potential non-opioid pain therapy candidates, undertaking preclinical studies and clinical trials of our product candidate and establishing research and development collaborations. Our relatively short operating history as a company makes any assessment of our future success and viability subject to significant uncertainty.</w:t>
      </w:r>
    </w:p>
    <w:p>
      <w:pPr>
        <w:spacing w:after="0" w:line="16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spacing w:after="0" w:line="89" w:lineRule="exact"/>
        <w:rPr>
          <w:sz w:val="20"/>
          <w:szCs w:val="20"/>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ongoing pre-clinical studies and clinical trials and obtain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new acquisition or in-licensing opportunities;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new product candidates and advance those product candidates into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funds when needed and on terms acceptable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experienced management and advisory teams;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clinical, pre-clinical manufacturing and planned future commercialization efforts and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current and future product candidates,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relationships with third-party suppliers and manufacturers;</w:t>
      </w:r>
    </w:p>
    <w:p>
      <w:pPr>
        <w:spacing w:after="0" w:line="130" w:lineRule="exact"/>
        <w:rPr>
          <w:rFonts w:ascii="Times New Roman" w:cs="Times New Roman" w:eastAsia="Times New Roman" w:hAnsi="Times New Roman"/>
          <w:sz w:val="18"/>
          <w:szCs w:val="18"/>
          <w:color w:val="auto"/>
        </w:rPr>
      </w:pPr>
    </w:p>
    <w:p>
      <w:pPr>
        <w:ind w:left="5540" w:right="20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acceptable prices for current and future product candidates and obtain coverage and adequate reimbursement from third-party payors; 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current and future product candidates in the medical community and with third-party payors and consumers;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cannot successfully execute any one of the foregoing, our business may not succeed or become profitable. Since our inception, we have incurred significant net losses. For the years ended December 31, 2025 and 2024, we had net losses of $160.4 million and $4.7 million, respectively. As of December 31, 2025, we had an accumulated deficit of $275.8 million. For the foreseeable future, we expect to continue to incur significant expenses related to the research and development of our product candidate, SP-102. We expect to incur substantial losses for the foreseeable future and may never become profitable.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only one product candidate, SP-102, no products approved for commercial sale, have never generated any revenue from product sales and may never be profitable.</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only have one product candidate, SP-102. Our ability to generate revenue from product sales and achieve profitability will depend on our ability, alone or with collaborators, to successfully complete the development of, and obtain the regulatory approvals necessary to commercialize, SP-102 and any future product candidates, if any. As a result, we intend to devote a substantial portion of our research and development resources and business efforts to the development of SP-102. We do not anticipate generating revenues from product sales for the next several years, if ever. Our ability to generate future revenue from product sales depends heavily on our, or our future collaborators’, ability to successfully:</w:t>
      </w:r>
    </w:p>
    <w:p>
      <w:pPr>
        <w:spacing w:after="0" w:line="89" w:lineRule="exact"/>
        <w:rPr>
          <w:sz w:val="20"/>
          <w:szCs w:val="20"/>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complete research and preclinical and clinical development of SP-102 and any other product candidates we may identify;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product candidates for which we complete clinical trials;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we obtain regulatory and marketing approval by establishing a sales force, marketing and distribution infrastructure or, alternatively, collaborating with a commercialization partner;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coverage and adequate reimbursement by government and third-party payors for any product candidates for which we obtain regulatory and marketing approval;</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 acceptance of any product candidates as viable treatment options;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systems and infrastructure, as needed;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 our obligations in such arrangements;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rights, including patents, trade secrets and know-how, in the United States and internationally;</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and defend against third-party interference, infringement and other intellectual property claims in the United States and internationally;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European Medicines Agency (the “EMA”) or other regulatory authorities to perform clinical and other studies in addition to those that we currently anticipate.</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completing the development of our current and future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and marketing organization. If we are unable to establish satisfactory sales and marketing capabilities or secure a third-party sales and marketing relationship, we may not be able to successfully commercialize SP-102 or any future product candidates, if any.</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At present, we have no sales or marketing personnel. We intend to leverage the sales force and marketing capacities of our parent company, Scilex, to commercialize our current product candidate, SP-102, if approved. As we further grow after the launch of the SP-102, if approved, we will establish our sales, marketing or product distribution strategy for our product candidates. We may use strategic partners, distributors, a contract sales force or establish our own commercial sales force. If we are not successful in recruiting sales and marketing personnel and building a sales and marketing infrastructure or entering into appropriate collaboration arrangements with third parties, we will have difficulty successfully commercializing our product candidate, if approved, which would adversely affect our business, operating results and financial condition.</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spacing w:after="0" w:line="8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of our product candidates, if approved;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internal sales and marketing organization.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to us on acceptable terms, or at all.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We expect to significantly increase our spending to advance development of our current product candidate and launch and commercialize any product candidate for which we receive regulatory approval. Furthermore, we expect to incur additional costs associated with operating as a public company. We will also require additional capital to fund our other operating expenses and capital expenditures.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2025, our cash and cash equivalents were $20 thousand and we had an accumulated deficit of $275.8 million. The amount and timing of our future funding requirements will depend on many factors, some of which are outside of our control, including but not limited to:</w:t>
      </w:r>
    </w:p>
    <w:p>
      <w:pPr>
        <w:spacing w:after="0" w:line="45"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conducting studies and clinical trials for our product candidate, SP-102;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we are required to make pursuant to any current or future collaboration or license agreements;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reimburse Scilex for up to an aggregate of $280.0 million in respect of milestone payments under the Legacy Semnur Merger Agreement (as defined below) through an intercompany arrangement between Scilex and Semnur, which arrangement is not currently in place (see section titled “</w:t>
      </w:r>
      <w:r>
        <w:rPr>
          <w:rFonts w:ascii="Times New Roman" w:cs="Times New Roman" w:eastAsia="Times New Roman" w:hAnsi="Times New Roman"/>
          <w:sz w:val="18"/>
          <w:szCs w:val="18"/>
          <w:i w:val="1"/>
          <w:iCs w:val="1"/>
          <w:color w:val="auto"/>
        </w:rPr>
        <w:t>Legacy Semnur Merger Agreement</w:t>
      </w:r>
      <w:r>
        <w:rPr>
          <w:rFonts w:ascii="Times New Roman" w:cs="Times New Roman" w:eastAsia="Times New Roman" w:hAnsi="Times New Roman"/>
          <w:sz w:val="18"/>
          <w:szCs w:val="18"/>
          <w:color w:val="auto"/>
        </w:rPr>
        <w:t>” under Note 4 of our consolidated financial statements included elsewhere in this prospectus for more information);</w:t>
      </w:r>
    </w:p>
    <w:p>
      <w:pPr>
        <w:spacing w:after="0" w:line="85"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 if approved for commercialization, are adopted by the physician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products or product candidates we develop and commercialize;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public shares that are redeemed by Denali’s public shareholders;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Until we are able to generate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current and future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current or future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our indebtedness and other liquidity needs.</w:t>
      </w:r>
    </w:p>
    <w:p>
      <w:pPr>
        <w:spacing w:after="0" w:line="121"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section titled “</w:t>
      </w:r>
      <w:r>
        <w:rPr>
          <w:rFonts w:ascii="Times New Roman" w:cs="Times New Roman" w:eastAsia="Times New Roman" w:hAnsi="Times New Roman"/>
          <w:sz w:val="18"/>
          <w:szCs w:val="18"/>
          <w:i w:val="1"/>
          <w:iCs w:val="1"/>
          <w:color w:val="auto"/>
        </w:rPr>
        <w:t>Liquidity and Going Concern</w:t>
      </w:r>
      <w:r>
        <w:rPr>
          <w:rFonts w:ascii="Times New Roman" w:cs="Times New Roman" w:eastAsia="Times New Roman" w:hAnsi="Times New Roman"/>
          <w:sz w:val="18"/>
          <w:szCs w:val="18"/>
          <w:color w:val="auto"/>
        </w:rPr>
        <w:t>” under Note 1 of our consolidated financial statements included elsewhere in this prospectus, for a discussion regarding our ability to continue as a going concern.</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negative cash flows and substantial cumulative net losses raise substantial doubt about our ability to continue as a going concern.</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section titled “</w:t>
      </w:r>
      <w:r>
        <w:rPr>
          <w:rFonts w:ascii="Times New Roman" w:cs="Times New Roman" w:eastAsia="Times New Roman" w:hAnsi="Times New Roman"/>
          <w:sz w:val="18"/>
          <w:szCs w:val="18"/>
          <w:i w:val="1"/>
          <w:iCs w:val="1"/>
          <w:color w:val="auto"/>
        </w:rPr>
        <w:t>Liquidity and Going Concern</w:t>
      </w:r>
      <w:r>
        <w:rPr>
          <w:rFonts w:ascii="Times New Roman" w:cs="Times New Roman" w:eastAsia="Times New Roman" w:hAnsi="Times New Roman"/>
          <w:sz w:val="18"/>
          <w:szCs w:val="18"/>
          <w:color w:val="auto"/>
        </w:rPr>
        <w:t>” under Note 1 of our consolidated financial statements included elsewhere in this prospectus, we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disclose that there is substantial doubt about our ability to continue as a going concern. In addition, our independent registered public accounting firm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included an explanatory paragraph in its report on our financial statements as of and for the year ended December 31, 2025, which stated that substantial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doubt existed about our ability to continue as a going concern. We have negative working capital and have incurred significant operating losses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negative cash flows from operations and expect to continue incurring losses for the foreseeable future. Further, we had an accumulated deficit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$275.8 million as of December 31, 2025. These conditions raise substantial doubt about our ability to continue as a going concern. Our consolidated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statements do not include any adjustments that might result from the outcome of this uncertainty.</w:t>
      </w:r>
    </w:p>
    <w:p>
      <w:pPr>
        <w:spacing w:after="0" w:line="20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If we are unable to obtain sufficient funding, our financial condition and results of operations will be materially and adversely affected and we may be unable to continue as a going concern. Our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 over financial reporting. Any material weakness may cause us to fail to timely and accurately report our financial results or result in a material misstatement of our financial statements.</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audit of our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material weaknesses related to ineffective control activities in the areas of preparation of the carve-out financial statements and stock-based compensation expense. As a result of the material weaknesses, we implemented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19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Product Development</w:t>
      </w:r>
    </w:p>
    <w:p>
      <w:pPr>
        <w:spacing w:after="0" w:line="11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only product candidate, SP-102. If we are unable to complete development of, obtain approval for and commercialize SP-102 in a timely manner or at all, our business will be harmed.</w:t>
      </w:r>
    </w:p>
    <w:p>
      <w:pPr>
        <w:spacing w:after="0" w:line="51" w:lineRule="exact"/>
        <w:rPr>
          <w:sz w:val="20"/>
          <w:szCs w:val="20"/>
          <w:color w:val="auto"/>
        </w:rPr>
      </w:pPr>
    </w:p>
    <w:p>
      <w:pPr>
        <w:jc w:val="both"/>
        <w:ind w:left="120" w:right="480" w:firstLine="440"/>
        <w:spacing w:after="0" w:line="289" w:lineRule="auto"/>
        <w:rPr>
          <w:sz w:val="20"/>
          <w:szCs w:val="20"/>
          <w:color w:val="auto"/>
        </w:rPr>
      </w:pPr>
      <w:r>
        <w:rPr>
          <w:rFonts w:ascii="Times New Roman" w:cs="Times New Roman" w:eastAsia="Times New Roman" w:hAnsi="Times New Roman"/>
          <w:sz w:val="17"/>
          <w:szCs w:val="17"/>
          <w:color w:val="auto"/>
        </w:rPr>
        <w:t>Our future success is dependent on our ability to timely advance and complete clinical trials, obtain marketing approval for and successfully commercialize our product candidate, SP-102. We are not permitted to market or promote SP-102 or any other future product candidate before we receive marketing approval from the FDA and comparable foreign regulatory authorities, and we may never receive such marketing approvals.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success of SP-102 and any future product candidates, if any, will depend on several factors, including the following:</w:t>
      </w:r>
    </w:p>
    <w:p>
      <w:pPr>
        <w:spacing w:after="0" w:line="131" w:lineRule="exact"/>
        <w:rPr>
          <w:sz w:val="20"/>
          <w:szCs w:val="20"/>
          <w:color w:val="auto"/>
        </w:rPr>
      </w:pPr>
    </w:p>
    <w:p>
      <w:pPr>
        <w:jc w:val="both"/>
        <w:ind w:left="1080" w:right="3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individual investigational review boards (“IRBs”) and scientific review committees at each clinical trial site as to the adequacy of the preclinical data package to support clinical development of SP-102 and their overall general agreement with the use of SP-102 in the intended patient population in the intended manner;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patient enrollment and completion of additional clinical trials of SP-102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(“AEs”) in the clinical trials;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contract research organizations (“CROs”) and clinical sites for the clinical development of SP-102 both in the United States and internationally;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toxicology studies, biodistribution studies and minimally efficacious dose studies in animals, where applicable;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clinical trials, under the FDA’s current Good Clinical Practices (“GCP”) and the FDA’s current Good Laboratory Practices (“GLPs”);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investigational new drug applications or Clinical Trial Authorizations that allow commencement of our planned clinical trials or future clinical trials for our product candidates;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EMA or any comparable foreign regulatory authority for marketing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suppliers and manufacturers for clinical development of SP-102;</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 party manufacturers to obtain finished products that are appropriate for commercial sale of SP-102, if it is approved;</w:t>
      </w:r>
    </w:p>
    <w:p>
      <w:pPr>
        <w:spacing w:after="0" w:line="67" w:lineRule="exact"/>
        <w:rPr>
          <w:rFonts w:ascii="Times New Roman" w:cs="Times New Roman" w:eastAsia="Times New Roman" w:hAnsi="Times New Roman"/>
          <w:sz w:val="18"/>
          <w:szCs w:val="18"/>
          <w:color w:val="auto"/>
        </w:rPr>
      </w:pPr>
    </w:p>
    <w:p>
      <w:pPr>
        <w:ind w:left="1080" w:right="1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adequate reimbursement from third-party payors for our product candidates, if approved, and patients’ willingness to pay out-of-pocket in the absence of such coverage and adequate reimbursement;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treatments.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SP-102, which would materially harm our business. If we do not receive marketing approvals for SP-102, we may not be able to continue our operations.</w:t>
      </w:r>
    </w:p>
    <w:p>
      <w:pPr>
        <w:spacing w:after="0" w:line="287"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 in the delivery of our clinical supplies which could affect the development of SP-102.</w:t>
      </w:r>
    </w:p>
    <w:p>
      <w:pPr>
        <w:spacing w:after="0" w:line="7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There is no guarantee that we will be able to commence a commercial launch of SP-102 in 2028 or ever, as any such launch would be subject to regulatory approval, which we may not receive.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7"/>
          <w:szCs w:val="17"/>
          <w:color w:val="auto"/>
        </w:rPr>
        <w:t>Under our Master Services Agreement, dated January 27, 2017 (as amended, the “Lifecore Master Services Agreement”), with Lifecore Biomedical, LLC (“Lifecore”), we depend on Lifecore to manufacture clinical supplies of SP-102.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 (c) become convicted of or plead guilty to a charge of violating any law relating to either party’s business, or (d) engage in any act which materially impairs goodwill associated with SP-102 or materially impairs the terminating party’s trademark or trade name; (3) if we fail to pay past due invoices upon 30 days’ written notice, or</w:t>
      </w:r>
    </w:p>
    <w:p>
      <w:pPr>
        <w:spacing w:after="0" w:line="5" w:lineRule="exact"/>
        <w:rPr>
          <w:sz w:val="20"/>
          <w:szCs w:val="20"/>
          <w:color w:val="auto"/>
        </w:rPr>
      </w:pPr>
    </w:p>
    <w:p>
      <w:pPr>
        <w:ind w:left="120" w:right="140" w:hanging="4"/>
        <w:spacing w:after="0" w:line="253"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The Lifecore Master Services Agreement expires on December 31, 2028, unless terminated earlier in accordance with the terms of such agreement, or unless renewed further by the parties.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 candidate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our product candidate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our clinical supply of our product candidate and certain of the raw materials used in our product candidate are disrupted or delayed, there can be no assurance that alternative sources can serve as adequate replacements or that supplies will be available on terms that are favorable to us, if at all. Any disruption in supply could affect the development of SP-102.</w:t>
      </w:r>
    </w:p>
    <w:p>
      <w:pPr>
        <w:spacing w:after="0" w:line="28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current and future product candidates.</w:t>
      </w:r>
    </w:p>
    <w:p>
      <w:pPr>
        <w:spacing w:after="0" w:line="6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GCP-compliant clinical trials of our current and future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current and future product candidates would be harmed, our costs could increase, and our ability to generate revenue could be delayed.</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enter into collaborations, in-licensing arrangements, joint ventures, or strategic alliances with third-parties that may not result in the development of commercially viable products or the generation of significant future revenues.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in the future enter into collaborations, in-licensing arrangements, joint ventures, or strategic alliances to develop proposed products and to pursue new markets.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Delays in clinical trials could result in increased costs to us and delay our ability to obtain commercial approval and generate revenue.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for the sale of any of our current or future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85" w:lineRule="exact"/>
        <w:rPr>
          <w:sz w:val="20"/>
          <w:szCs w:val="20"/>
          <w:color w:val="auto"/>
        </w:rPr>
      </w:pPr>
    </w:p>
    <w:p>
      <w:pPr>
        <w:ind w:left="1080" w:right="4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authorizations to commence a clinical trial or reaching a consensus with regulatory authorities on trial design;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prospective clinical investigators or clinical trial sites that have necessary qualifications, interest and capacity to perform a requested protocol;</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approval from one or more IRBs;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the investigational site, precluding enrollment of additional subjects, or withdrawing their approval of the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subjects to participate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GCPs;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subjects completing participation in a trial or returning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investigators departing their clinical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after an inspection of our clinical trial operations, trial sites or manufacturing facilities, or for other reasons;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(“SAEs”) in our trials or in trials of the same class of agents conducted by other sponsors;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that require amending or submitting new clinical protocols;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to temporarily or permanently shut down due to violations of cGMP regulations or other applicable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and/or not performing our clinical trials on our anticipated schedule or consistent with the clinical trial protocol, GCP, or other regulatory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 of SP-102,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292"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for our product candidates and the approval may be for a more narrow indication than we seek.</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cannot commercialize our current and future product candidates, if any,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a product candidate meets the safety and efficacy endpoints in clinical trials, the data may not be considered sufficient by regulatory authorities, those regulatory authorities may not complete their review</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Even if we receive regulatory approval, the FDA may approve a product candidate for more limited indications than requested or they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a product candidate. Any of the foregoing scenarios could materially harm the commercial prospects for a product candidate.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if the results of any clinical trials are inconclusive or if there are safety concerns or SAEs associated with a product candidate, we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w:t>
      </w:r>
    </w:p>
    <w:p>
      <w:pPr>
        <w:spacing w:after="0" w:line="112"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fail in obtaining marketing approval for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candidate is administered;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 marketing testing requirements;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REMS;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and held liable for harm caused to patients;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32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or maintain patients in our clinical trials, which could delay or prevent us from proceeding with clinical trials of our product candidates.</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any clinical trials of our current and future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Patient enrollment is affected by many factors,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enrolled patients will not complete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(or other similar disruptions), including difficulties in initiating clinical sites, enrolling and retaining participants, diversion of healthcare resources away from clinical trials, travel or quarantine policies that may be implemented and other factors;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in relation to other available products.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conditions for which we currently plan to evaluate our product candidates are common, but the eligibility criteria of our clinical trials limit the pool of available trial participants. For example, we experienced a delay in the enrollment of our now completed SP-102 Phase 3 clinical trial in sciatica due to the selective eligibility criteria in place to reduce the placebo effect and the impacts of COVID-19, and may experience similar issues with enrollment of our other planned clinical trials.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spacing w:after="0" w:line="28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w:t>
      </w:r>
    </w:p>
    <w:p>
      <w:pPr>
        <w:spacing w:after="0" w:line="6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competitors may discover, develop or commercialize products faster or more successfully than us.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and rapid technological advances. In addition, the competition in the pain management market, and other relevant markets, is intense.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SP-102,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SP-102, if approved, also will compete with various opioid pain medications, Nonsteroidal Anti-Inflammatory Drugs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w:t>
      </w:r>
    </w:p>
    <w:p>
      <w:pPr>
        <w:spacing w:after="0" w:line="183"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upon attaining significant market acceptance of our product candidates, if approved, among physicians, patients, healthcare payers and operators of major clinics, and we may not be successful in attaining such market acceptance.</w:t>
      </w:r>
    </w:p>
    <w:p>
      <w:pPr>
        <w:spacing w:after="0" w:line="5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Even with the requisite approvals from the FDA in the U.S., the EMA in the EU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spacing w:after="0" w:line="77" w:lineRule="exact"/>
        <w:rPr>
          <w:sz w:val="20"/>
          <w:szCs w:val="20"/>
          <w:color w:val="auto"/>
        </w:rPr>
      </w:pPr>
    </w:p>
    <w:p>
      <w:pPr>
        <w:ind w:left="5540" w:right="4100" w:hanging="4884"/>
        <w:spacing w:after="0" w:line="454" w:lineRule="auto"/>
        <w:tabs>
          <w:tab w:leader="none" w:pos="10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 as demonstrated in clinical trials; 27</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other products that are used in combination or in sequence with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compared to alternative treatments;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to our targeted patient population and limitations or warnings contained in approved labeling by the FDA or other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the EMA or other regulatory agencies;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novel biologics and of physicians to prescribe these treatments, as well as their willingness to accept an intervention that involves the alteration of the patient’s gene;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third-party coverage and sufficiency of reimbursement;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Even if a product candidate is approved, such product may not achieve an adequate level of acceptance, we may not generate significant product revenues, and we may not become profitable.</w:t>
      </w:r>
    </w:p>
    <w:p>
      <w:pPr>
        <w:spacing w:after="0" w:line="266"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third-party payor coverage and reimbursement status of newly approved products is uncertain. Failure to obtain or maintain coverage and adequate reimbursement for our current or future product candidates, if approved, could decrease our ability to generate product revenue.</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the third-party coverage and reimbursement of existing and newly approved products. Market acceptance and sales of our current and future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a product candidate, if approved, may differ significantly from payor to payor, and we may not be able to obtain adequate coverage and reimbursement in the future.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obtaining coverage and reimbursement approval for a product from a government or other third-party payor is a time-consuming and costly process that could require us to provide supporting scientific, clinical and cost-effectiveness data for the use of such product candidate, if approved,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market for our current and future product candidates, if approved,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(“EU”) do not follow price structures of the United States and generally prices tend to be significantly lower.</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product candidate SP-102 is expected to be a physician-administered injectable viscous gel and as such, separate reimbursement for the product itself may not be available. Instead, if SP-102 receives regulatory approval, the administering physician may be reimbursed only for providing the treatment or procedure in which SP-102 is used. To the extent separate coverage and reimbursement should become available for SP-102,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spacing w:after="0" w:line="192"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Further, the codes used by providers to bill for SP-102,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SP-102. If our product candidate is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 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spacing w:after="0" w:line="276"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ultimately be successful or support further preclinical or clinical development of our current and future product candidates, if any.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 the development timeline and regulatory approval and commercialization prospects for our only product candidate, and, correspondingly, our business and financial prospects would be negatively impacted. A Phase 3 trial was completed for SP-102 for the treatment of sciatica and the second Phase 3 trial was initiated in September 2025. We may not have the necessary capabilities, including adequate staffing, to successfully manage the execution and completion of such clinical trials in a way that leads to our obtaining marketing approval for our product candidate in a timely manner, or at all. Our clinical trials may produce negative or inconclusive results, and, in the future, we may decide, or regulators may require us, to conduct additional clinical trials and preclinical studies in addition to those we have planned.</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March 2022, we announced final results from our Phase 3 trial for SP-102 and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NDA pathway approval. Specifically, the FDA reaffirmed the need for a larger sample size and further requested confirmatory evidence of efficacy through a repeat injection. See the section title “</w:t>
      </w:r>
      <w:r>
        <w:rPr>
          <w:rFonts w:ascii="Times New Roman" w:cs="Times New Roman" w:eastAsia="Times New Roman" w:hAnsi="Times New Roman"/>
          <w:sz w:val="18"/>
          <w:szCs w:val="18"/>
          <w:i w:val="1"/>
          <w:iCs w:val="1"/>
          <w:color w:val="auto"/>
        </w:rPr>
        <w:t>Business – Our Company</w:t>
      </w:r>
      <w:r>
        <w:rPr>
          <w:rFonts w:ascii="Times New Roman" w:cs="Times New Roman" w:eastAsia="Times New Roman" w:hAnsi="Times New Roman"/>
          <w:sz w:val="18"/>
          <w:szCs w:val="18"/>
          <w:color w:val="auto"/>
        </w:rPr>
        <w:t>” for additional information regarding the meetings with the FDA.</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w:t>
      </w:r>
    </w:p>
    <w:p>
      <w:pPr>
        <w:spacing w:after="0" w:line="298"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current and future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for any of our current or future product candidates in the United States,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reputational harm due to failures of our product candidates.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failure of our current or future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that could delay or prevent their regulatory approval.</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our current or future product candidates. In the clinical trials we conduct with our current or future product candidates, patients may experience changes in their health, including illnesses, injuries, discomforts or a fatal 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our current or future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 is complex and difficult to manufacture. We could experience delays in satisfying regulatory authorities or manufacturing problems that result in delays in our development or commercialization programs, limit the supply of our current product candidate, or otherwise harm our business.</w:t>
      </w:r>
    </w:p>
    <w:p>
      <w:pPr>
        <w:spacing w:after="0" w:line="6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currently depend on contract manufacturers to conduct the manufacturing and supply activities for SP-102. Manufacturing this product candidate requires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contaminations are discovered in our supply of our current product candidate, or any future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ability to meet potential future market demand for products, which could harm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117"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key executives, it may delay our development efforts and harm our business, financial condition and results of operations.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Henry Ji, Ph.D., our Chief Executive Officer, President and Executive Chairperson, and Stephen Ma, our Chief Operating Officer and Chief Financial Officer. The loss of services of these executive officers could delay or prevent the successful development of our product pipeline and completion of our planned clinical trials. We do not carry “key person” insurance on any of our executive officers or other employees.</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Competition for key executives in the biotechnology and pharmaceuticals field is intense, due to the limited number of individuals who possess the skills and experience required by our industry. Many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increase the size of our company and may not effectively manage our growth.</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we have 10 full-time employees, including three employees who have a M.D. or Ph.D. As a subsidiary of Scilex, we have been dependent upon the services provided by Scilex employees. As of December 31, 2025, Scilex has 28 full-time employees, including three employees who have M.D.s or Ph.D.s. We will need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w:t>
      </w:r>
    </w:p>
    <w:p>
      <w:pPr>
        <w:spacing w:after="0" w:line="93"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internal regulatory review process for our current and future product candidates,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current and future product candidates will depend, in part, on our ability to effectively manage any future growth, if any, which may cause a significant strain on our 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we endeavor to obtain appropriate insurance coverage for insurable risks that we identify, we do not carry insurance for all categories of risk that our business may encounter.</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know if we will be able to maintain existing insurance with adequate levels of coverage. Any significant uninsured liability may require us to pay substantial amounts, which would adversely affect our business, financial condition and results of operations.</w:t>
      </w:r>
    </w:p>
    <w:p>
      <w:pPr>
        <w:spacing w:after="0" w:line="266"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 candidates, if approved,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product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labeling, the marketing or manufacturing of any product candidates, if approved, withdrawal of the product candidates, if approved,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will have to pay any amounts awarded by a court or negotiated in a settlement that exceed our coverage limitations or that are not covered by our insurance, and we may not have, or be able to obtain, sufficient capital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to pay such amounts. Moreover, in the future, we may not be able to maintain insurance coverage at a reasonable cost or in sufficient amounts to protect us against losses.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disruption in our research and development facilities could adversely affect our business, financial condition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and may fail to realize the anticipated benefits of any acquisition, and acquisitions can be costly and dilutive.</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conduct business outside of the United States, the international components of our business will expose us to business, legal, regulatory, political, operational, financial and economic risks associated with conducting business outside of the United States.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collaborate with international manufacturing partners and expand our business internationally in the future. The purchase and shipment of components from international sources will subject us to U.S. and foreign governmental trade, import and export, and customs regulations and laws.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Moreover, the current administration has substantially altered prior U.S. government international trade policy and has commenced activities to renegotiate, or potentially terminate, certain existing bilateral or multi- lateral trade agreements and treaties with foreign countries. In addition, the current administration has initiated or is considering imposing tariffs on certain foreign goods. Related to this action, certain foreign governments, including China, have instituted or are considering imposing tariffs on certain U.S. goods. It remains unclear what the current administration or foreign governments will or will not do with respect to tariffs or other international trade agreements and policies. Although the current Administration has not yet implemented tariffs on pharmaceuticals, there can be no assurance that it will not implement such tariffs in the future.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 the United States or global economy or certain sectors thereof and, thus, could adversely impact our business.</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Conducting business internationally involves a number of risks, including:</w:t>
      </w:r>
    </w:p>
    <w:p>
      <w:pPr>
        <w:spacing w:after="0" w:line="131" w:lineRule="exact"/>
        <w:rPr>
          <w:sz w:val="20"/>
          <w:szCs w:val="20"/>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sometimes conflicting and changing laws and regulations such as tax laws, export and import restrictions, employment laws, anti-bribery and anti-corruption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appropriate licenses or regulatory approvals for the sale or use of our product candidates, if approved, in various countries;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availability of shipping and other means of product transportation;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duties and tariffs, license obligations and other non-tariff barriers to trade;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trade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certain foreign legal systems;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payor-reimbursement regimes or self-pay systems;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negatively impact our business, financial condition and results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 clinical study or to report an alleged adverse event.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When such disclosures occur, there is a risk that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a system failure.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 breach to date, if such an event were to occur, it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under laws and regulations that protect personal data, resulting in increased costs or loss of revenue. Our ability to effectively manage and maintain our internal business information depends significantly on our enterprise resource planning (“ERP”)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results of operations.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continued hostilities between Russia and Ukraine and, more recently, Hamas’ attack against Israel and the ensuing conflict.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Russia’s invasion of Ukraine and sanctions against Russia are causing disruptions to global economic conditions. The escalation in October 2023 of the conflict between Israel and Hamas and U.S. military intervention in Venezuela also could cause disruptions to global economic conditions and affect the stability of those regions.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disputes over intellectual property rights that we have licensed may prevent or impair our ability to maintain our current licensing arrangements on acceptable terms.</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rights is of high importance to our business and involves complex legal, business and scientific issues. Disputes may arise between us and our licensors regarding intellectual property rights subject to a license agreement, including:</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rights of the licensor that are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intellectual property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product candidate,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us and our partners.</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our current and future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 Any of the foregoing could have a material adverse effect on our business, financial condition and results of operations.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patent protection for our product candidates, or if the scope of the patent protection obtained is not sufficiently broad, we may not be able to compete effectively in our markets.</w:t>
      </w:r>
    </w:p>
    <w:p>
      <w:pPr>
        <w:spacing w:after="0" w:line="5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current and future product candidates. Our success depends in part on our ability to obtain and maintain patent protection in the United States and other countries with respect to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81" w:lineRule="exact"/>
        <w:rPr>
          <w:sz w:val="20"/>
          <w:szCs w:val="20"/>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and Trademark Office (the “PTO”) and various foreign governmental patent agencies require compliance with a number of procedural, documentary, fee payment and other provisions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during the patent process, the non-compliance with which can result in abandonment or lapse of a patent or patent application, and partial or complete loss of patent rights in the relevant jurisdiction;</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81"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successful intellectual property challenge to any patents owned by or licensed to us could deprive us of rights necessary for the practice of our technologies or the successful commercialization of any product candidates that we may develop;</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312" w:lineRule="auto"/>
        <w:tabs>
          <w:tab w:leader="none" w:pos="10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interference proceeding can be provoked by a third party or instituted by the PTO to determine who was the first to invent any of the subject matter covered by the patent claims of our applications for any application with an effective filing date before March 16, 2013.</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the patent applications we hold or in-license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Any such outcome could have a materially adverse effect on our business.</w:t>
      </w:r>
    </w:p>
    <w:p>
      <w:pPr>
        <w:spacing w:after="0" w:line="284"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and brands for our development pipeline through acquisitions and in-licenses.</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current and future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 candidates, if approved, and our business, financial condition and results of operations could suffer.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we infringe, misappropriate, or violate the intellectual property rights of third parties may give rise to costly and lengthy litigation, and we could be prevented from selling product candidates, if approved, forced to pay damages, and defend against litigation.</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Third parties may assert patent or other intellectual property infringement or misappropriation claims against us or our strategic partners, licensors or licensees with respect to our product candidates. If any of our current or future product candidates, methods, processes and other technologies are alleged to infringe on or be improperly based on the proprietary rights of other parties, we could face adverse consequences.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or are infringed by one of our current or future product candidates.</w:t>
      </w:r>
    </w:p>
    <w:p>
      <w:pPr>
        <w:spacing w:after="0" w:line="183"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current or future product candidates. Defense of these claims, regardless of their merit, could involve substantial expenses and could be a substantial diversion of our valuable management and employee resources from our business.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w:t>
      </w:r>
    </w:p>
    <w:p>
      <w:pPr>
        <w:spacing w:after="0" w:line="9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our product candidates until the asserted patent expires or is held finally invalid or not infringed in a court of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pay the attorney’s fees and costs of litigation to the party whose intellectual property rights we may be found to be infringing; and/or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 candidates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United States may be maintained in secrecy until the patents are issued;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and elsewhere can be pending for many years before issuance, or unintentionally abandoned patents or applications can be revived;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have been published can, subject to certain limitations, be later amended in a manner that could cover our technologies, our product candidates or the use of our product candidates;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United States are typically not published until 18 months after the priority date;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if approved.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 candidates.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and others may have or obtain patents or proprietary rights that could limit our ability to make, use, sell,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that some of our confidential information could be compromised by disclosure during litigation. There could also be public announcements of the results of hearings, motions or other interim proceedings or developments.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w:t>
      </w:r>
    </w:p>
    <w:p>
      <w:pPr>
        <w:spacing w:after="0" w:line="28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rights are invalidated or circumvented, our business, financial condition and results of operations will be adversely affected.</w:t>
      </w:r>
    </w:p>
    <w:p>
      <w:pPr>
        <w:spacing w:after="0" w:line="51"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Intellectual property protection varies throughout the world and is subject to change over time. In the United States, for small molecule drug products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w:t>
      </w:r>
    </w:p>
    <w:p>
      <w:pPr>
        <w:spacing w:after="0" w:line="293"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and our business, financial condition and results of operations may be adversely affected.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have registered trademarks with the PTO for the marks “SEMNUR PHARMACEUTICALS” and “SEMDEXA” in the United States.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may become involved in opposition, interference, derivation, inter partes 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our product candidates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w:t>
      </w:r>
    </w:p>
    <w:p>
      <w:pPr>
        <w:spacing w:after="0" w:line="298"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our product candidates, our competitors may be able to enter the market, which would have an adverse effect on our business, financial condition and results of operations.</w:t>
      </w:r>
    </w:p>
    <w:p>
      <w:pPr>
        <w:spacing w:after="0" w:line="296"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may not adequately prevent disclosure of our trade secrets and other proprietary information and may not adequately protect our intellectual property, which could limit our ability to compete.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help protect our proprietary know-how and our inventions for which patents may be unobtainable or difficult to obtain, or prior to seeking patent protection, we rely on trade secret protection and confidentiality agreements. To this end, we intend to require all our future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However, our future employees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w:t>
      </w:r>
    </w:p>
    <w:p>
      <w:pPr>
        <w:spacing w:after="0" w:line="180"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w:t>
      </w:r>
    </w:p>
    <w:p>
      <w:pPr>
        <w:spacing w:after="0" w:line="268"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may hire employees, consultants or advisors who are currently, or were previously, employed at universities or other biotechnology or pharmaceutical companies, including our competitors or potential competitors, as well as our academic partners. Although we will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our product candidates, if approved. Even if we are successful in defending against such claims, litigation could result in substantial costs and be a distraction to management.</w:t>
      </w:r>
    </w:p>
    <w:p>
      <w:pPr>
        <w:spacing w:after="0" w:line="19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future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w:t>
      </w:r>
    </w:p>
    <w:p>
      <w:pPr>
        <w:spacing w:after="0" w:line="291"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position as a relatively small company may cause us to be at a significant disadvantage in defending our intellectual property rights and in defending against infringement claims by third parties.</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any of our current or future product candidates infringes or misappropriates third-party intellectual property rights. However, we may seek to use various post-grant administrative proceedings, including procedures created under the AIA,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drug discovery and development efforts.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involving patent and other intellectual property rights in the biotechnology and pharmaceutical industries, including PTO administrative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our current and future product candidates. As the biotechnology and pharmaceutical industries expand and more patents are issued, the risk increases that our current and future product candidates may give rise to claims of infringement of the patent rights of others.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our current and future product candidates. Because patent applications can take many years to issue, there may be currently pending unpublished patent applications which may later result in issued patents that our current and future product candidates may infringe. In addition, third parties may obtain patents in the future and claim that the use of our technologies infringes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or developing our current and future product candidates, limit our uses, pay royalties or redesign our infringing current and future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if approved. We may fail to obtain any of these licenses at a reasonable cost or on reasonable terms, if at all. In that event, we would be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unable to develop and commercialize one or more of our current and future product candidates, which could harm our business, financial condition and results of operations significantly.</w:t>
      </w:r>
    </w:p>
    <w:p>
      <w:pPr>
        <w:spacing w:after="0" w:line="26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in addition to our future employees, we may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requirements for patentability and the patent enforcement differ in many countries. Filing, prosecuting and defending patents on all of our current and future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our current and future product candidates, if approved,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Ukrainian and Russian patent applications. Russian decrees may significantly limit our ability to enforce Russian patents. We cannot predict when or how this situation will change.</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in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of our product candidates we are developing or may develop, our business may be materially harmed.</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current and future product candidates,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a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technologies, especially where we do not believe patent protection is appropriate or obtainable. However, trade secrets are difficult to protect. Scilex relies in part on confidentiality agreements with its employees, consultants, outside scientific collaborators, sponsored researchers and other advisors, and inventions agreements with employees, consultants and advisors, to protect its trade secrets and other proprietary information. We plan to rely on the same arrangement. In addition to contractual measures, we will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may require us to share our trade secrets, which increases the possibility that our trade secrets will be misappropriated or disclosed.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help manufacture and supply SP-102,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 to our competitive advantage.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w:t>
      </w:r>
    </w:p>
    <w:p>
      <w:pPr>
        <w:spacing w:after="0" w:line="85" w:lineRule="exact"/>
        <w:rPr>
          <w:sz w:val="20"/>
          <w:szCs w:val="20"/>
          <w:color w:val="auto"/>
        </w:rPr>
      </w:pPr>
    </w:p>
    <w:p>
      <w:pPr>
        <w:ind w:left="10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 or pending patent application that we own or have exclusively licensed;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may not lead to issued patents;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and results of operations.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patents being issued that protect our product candidates, in whole or in part, or which effectively prevent others from commercializing competitive technologies and products.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w:t>
      </w:r>
    </w:p>
    <w:p>
      <w:pPr>
        <w:spacing w:after="0" w:line="19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Moreover, we may be subject to a third-party pre-issuance submission of prior art to the PTO or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Regulations</w:t>
      </w:r>
    </w:p>
    <w:p>
      <w:pPr>
        <w:spacing w:after="0" w:line="117" w:lineRule="exact"/>
        <w:rPr>
          <w:sz w:val="20"/>
          <w:szCs w:val="20"/>
          <w:color w:val="auto"/>
        </w:rPr>
      </w:pPr>
    </w:p>
    <w:p>
      <w:pPr>
        <w:ind w:left="120"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75"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SP-102,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See the section titled “</w:t>
      </w:r>
      <w:r>
        <w:rPr>
          <w:rFonts w:ascii="Times New Roman" w:cs="Times New Roman" w:eastAsia="Times New Roman" w:hAnsi="Times New Roman"/>
          <w:sz w:val="18"/>
          <w:szCs w:val="18"/>
          <w:i w:val="1"/>
          <w:iCs w:val="1"/>
          <w:color w:val="auto"/>
        </w:rPr>
        <w:t>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Company</w:t>
      </w:r>
      <w:r>
        <w:rPr>
          <w:rFonts w:ascii="Times New Roman" w:cs="Times New Roman" w:eastAsia="Times New Roman" w:hAnsi="Times New Roman"/>
          <w:sz w:val="18"/>
          <w:szCs w:val="18"/>
          <w:color w:val="auto"/>
        </w:rPr>
        <w:t>” for additional information regarding the meetings with the FDA. Our future success depends on our ability to develop,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for, and introduce new products or product enhancements that will be accepted by the market in a timely manner.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FDA or comparable non-U.S. regulatory authorities can delay, limit or deny approval of any product candidate for many reasons, including:</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such authorities’ satisfaction that a product candidate is safe and effective for its proposed indication;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may not meet the level of statistical significance required for approval by the FDA;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not agree that the data collected from clinical trials of our product candidate are acceptable or sufficient to support the submission of an NDA or other submission or to obtain regulatory approval in the United States, and such authorities may impose requirements for additional preclinical studies or clinical trials;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disagree regarding the formulation, labeling and/or the specifications of our product candidate;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decline to approve the manufacturing processes or facilities of third-party manufacturers with which we contract for clinical and commercial supplies;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non-U.S. regulatory authority may significantly change in a manner rendering our clinical data insufficient for approval.</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 which would significantly harm our business, financial condition and results of operations. In addition, regulatory authorities may approve our product candidate for fewer or more limited indications than we request, may not approve the price we intend to charge for our product candidate, may grant approval contingent on the performance of costly post-marketing clinical trials, or may approve our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 our business, financial condition and results of operations will be substantially harmed.</w:t>
      </w:r>
    </w:p>
    <w:p>
      <w:pPr>
        <w:spacing w:after="0" w:line="29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our product candidate satisfies the requirements for the Section 505(b)(2) regulatory approval pathway, or if the requirements for our product candidate under Section 505(b)(2) are not as we expect, the approval pathway for our product candidate will likely take significantly longer, cost significantly more and entail significantly greater complications and risks than anticipated, and in either case may not be successful.</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our product candidate SP-102, we may seek FDA approval through the Section 505(b)(2) regulatory pathway. The Hatch-Waxman Act added Section 505(b)(2) to the Federal Food, Drug and Cosmetic Act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 by potentially decreasing the amount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the FDA accepts our plan to pursue the Section 505(b)(2) regulatory pathway, we cannot assure that our product candidate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w:t>
      </w:r>
    </w:p>
    <w:p>
      <w:pPr>
        <w:spacing w:after="0" w:line="28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approved product candidate will be subject to ongoing and continued regulatory requirements, which may result in significant expense and limit our ability to commercialize such products.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requirements include submissions of safety and other post-marketing information and reports, registration and listing, product tracking and tracing,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or additional study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to prescribers or patients about specific information or issues;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clinical trials;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successfully commercialize our product candidate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w:t>
      </w:r>
    </w:p>
    <w:p>
      <w:pPr>
        <w:spacing w:after="0" w:line="158"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laws or government regulations may be enacted that could prevent, limit or delay regulatory approval of our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financial condition and results of operations may be negatively affected.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SP-102 will receive marketing approval.</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received fast track designation for SP-102 for the treatment of sciatica. Even though SP-102 has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FDA as they become finalized. The FDA may rescind the fast track designation if it believes that the designation is no longer supported by data from our clinical development program. The FDA may also withdraw any fast track designation at any time.</w:t>
      </w:r>
    </w:p>
    <w:p>
      <w:pPr>
        <w:spacing w:after="0" w:line="266"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43 days beginning on October 1, 2025, the U.S. government has shut down several times and certain regulatory agencies, such as the FDA and the SEC, have had to furlough critical employees and stop critical activities. Separately, in response to the COVID-19 pandemic, the FDA temporarily postponed routine surveillance inspections of manufacturing facilities in 2020.Additionally, the current administration announced plans to reduce the number of federal employees by establishing voluntary termination programs, by position eliminations or by involuntary terminations. For example, on October 10, 2025, the U.S. government implemented substantial layoffs and workforce reductions in connection with the federal government shutdown, which resulted in the suspension or delay of various government-funded programs.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sustained government shutdown could adversely affect our business, financial condition and results of operations.</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Government funding of the SEC and other government agencies on which our operations may rely is subject to the political process, which is inherently fluid and unpredictable. If a prolonged government shutdown or significant reduction in force of federal employees occurs, including those working for the SEC, it could significantly impact the ability of the SEC to timely review and process our regulatory filings, which could have a material adverse effect on our business. Further, a sustained government shutdown, or future government shutdowns, and cost-cutting efforts could impact our ability to access the public markets and obtain necessary capital in order to properly capitalize and continue our operations.</w:t>
      </w:r>
    </w:p>
    <w:p>
      <w:pPr>
        <w:spacing w:after="0" w:line="28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and civil or criminal penalties, private litigation or adverse publicity and could negatively affect our operating results and business.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FTC Act, each of which govern the collection, use, disclosure and protection of health-related and other personal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are not subject to U.S. federal Health Insurance Portability and Accountability Act of 1996 and its implementing regulations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Furthermore, U.S. state laws and regulations relating to data privacy and security and consumer protection are constantly evolving. For example, the California Consumer Privacy Act (as amended by the California Privacy Rights Act, the “CCPA”)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Several other states have implemented similar consumer privacy laws that took effect in the past year or will take effect in the near future and states have implemented or are considering laws that specifically focus on the processing of personal data related to individuals’ health, including California’s Confidentiality of Medical Information Act and Washington’s My Health My Data Act. 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We also may be contractually required to notify patients or other counterparties of a security breach. In addition to government regulation, privacy advocates and industry groups have and may in the future propose self-regulatory standards from time to time.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 Additionally, the FTC’s Health Breach Notification Rule that clarified applies to health apps and other similar technologies and includes breach notification requirements, which adds complexity to compliance obligations. Further, the SEC implemented rules around incident reporting, requiring cybersecurity incidents to be reported 4 business days after determining that an incident is material.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U.S. Department of Justice issued a final rule entitled, “Access to U.S. Sensitive Personal Data and Government-Related Data by Countries of Concern or Covered Persons,” codified at 28 CFR part 202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operating results.</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International data protection laws, including the EU’s and UK’s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The provisions within the DUAA will come into force through 2026, and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against and could result in adverse publicity that could harm our business, financial condition, and results of operations.</w:t>
      </w:r>
    </w:p>
    <w:p>
      <w:pPr>
        <w:spacing w:after="0" w:line="329"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 parties with whom we contract must comply with environmental laws and regulations, which can be expensive and restrict how we do business.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storage, use and disposal of hazardous materials, including the components of our current or future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w:t>
      </w:r>
    </w:p>
    <w:p>
      <w:pPr>
        <w:spacing w:after="0" w:line="299"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w:t>
      </w:r>
    </w:p>
    <w:p>
      <w:pPr>
        <w:spacing w:after="0" w:line="280"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w:t>
      </w:r>
    </w:p>
    <w:p>
      <w:pPr>
        <w:spacing w:after="0" w:line="93" w:lineRule="exact"/>
        <w:rPr>
          <w:sz w:val="20"/>
          <w:szCs w:val="20"/>
          <w:color w:val="auto"/>
        </w:rPr>
      </w:pPr>
    </w:p>
    <w:p>
      <w:pPr>
        <w:ind w:left="1080" w:right="140" w:hanging="424"/>
        <w:spacing w:after="0" w:line="255"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w:t>
      </w:r>
    </w:p>
    <w:p>
      <w:pPr>
        <w:spacing w:after="0" w:line="94"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AMP, and improper promotion of off-label uses (i.e., uses not expressly approved by the FDA in a drug’s label);</w:t>
      </w:r>
    </w:p>
    <w:p>
      <w:pPr>
        <w:spacing w:after="0" w:line="92"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w:t>
      </w:r>
    </w:p>
    <w:p>
      <w:pPr>
        <w:spacing w:after="0" w:line="88"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58"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 federal government price reporting laws, which require drug manufacturers to calculate and report complex pricing metrics to government agencies, including CMS and the Department of Veterans Affairs (the “VA”), referred to as Government Program Statutory Price Reporting, where such reported prices are used in the calculation of reimbursement and/or discounts on marketed products paid by government healthcare programs. Participation in these programs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74" w:lineRule="auto"/>
        <w:rPr>
          <w:sz w:val="20"/>
          <w:szCs w:val="20"/>
          <w:color w:val="auto"/>
        </w:rPr>
      </w:pPr>
      <w:r>
        <w:rPr>
          <w:rFonts w:ascii="Times New Roman" w:cs="Times New Roman" w:eastAsia="Times New Roman" w:hAnsi="Times New Roman"/>
          <w:sz w:val="17"/>
          <w:szCs w:val="17"/>
          <w:color w:val="auto"/>
        </w:rPr>
        <w:t>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 investigations, civil monetary penalties and/or additional fines;</w:t>
      </w:r>
    </w:p>
    <w:p>
      <w:pPr>
        <w:spacing w:after="0" w:line="78" w:lineRule="exact"/>
        <w:rPr>
          <w:sz w:val="20"/>
          <w:szCs w:val="20"/>
          <w:color w:val="auto"/>
        </w:rPr>
      </w:pPr>
    </w:p>
    <w:p>
      <w:pPr>
        <w:ind w:left="1080" w:right="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Prescription Drug Marketing Act, which restricts the manner in which manufacturers may disseminate complimentary drug samples to healthcare practitioners, requires physical and accounting controls, and establishes penalties for improper sample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w:t>
      </w:r>
    </w:p>
    <w:p>
      <w:pPr>
        <w:spacing w:after="0" w:line="19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are found to have improperly promoted off-label uses of our current or future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Physicians may use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future products for any off-label uses, the federal government could levy civil, criminal and/or administrative penalties, and seek fines against us. The FDA, Department of Justice or other regulatory authorities could also request that we enter into a consent decree, a corporate integrity agreement or corporate mentorship,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financial condition and results of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our product candidate’s commercial success.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March 2010, the Patient Protection and Affordable Care Act, as amended by the Health Care and Education Reconciliation Act of 2020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current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may require authorization through additional legislation to become effective, Congress and recent presidential 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our product candidate, if approved, or additional pricing pressures.</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our product candidate, if approved, or put pressure on our product pricing.</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we may lose any regulatory approvals that may have been obtained and we may not achieve or sustain profitability.</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prior FDA authorization for any proposed product brand names, and any failure or delay associated with such approval may adversely impact our business,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brand names we intend to use for our current and future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w:t>
      </w:r>
    </w:p>
    <w:p>
      <w:pPr>
        <w:spacing w:after="0" w:line="6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spacing w:after="0" w:line="291"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Scilex</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directors and officers may have actual or potential conflicts of interest because of their positions with Scilex.</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Dr. Ji, Dr. Chun, Mr. Followwill, Dr. Navani and Dr. Wu serve on our Board of Directors (the “Board of Directors”). Dr. Ji is also one of our executive officers, continues to serve as a member of the board of directors of Scilex and as Scilex’s Chairperson, Chief Executive Officer and President. Mr. Ma, our Chief Financial Officer, continues to serve as Chief Financial Officer, Senior Vice President, Secretary and director of Scilex.</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Service as an overlapping director or officer of Scilex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Scilex and its stockholders. In particular, it is possible that we may be precluded from participating in certain business opportunities that we might otherwise have participated in as those opportunities may be presented to Scilex because such directors may deem such opportunities to have a greater benefit to Scilex than to us.</w:t>
      </w:r>
    </w:p>
    <w:p>
      <w:pPr>
        <w:spacing w:after="0" w:line="17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such directors and officers may own shares of Scilex common stock, options to purchase shares of Scilex common stock or other Scilex equity awards. These individuals’ holdings of Scilex common stock, options to purchase shares of Scilex common stock or other equity awards of Scilex may be significant for some of these persons compared to these persons’ total assets. Their position at Scilex and the ownership of any Scilex equity or equity awards creates, or may create the appearance of, conflicts of interest when these directors and officers are faced with decisions that could have different implications for Scilex than the decisions have for us. For example, potential conflicts of interest could arise in connection with the resolution of any dispute that may arise between Scilex and us regarding the terms of the agreements governing the transition services and the relationship thereafter between the companies. Potential conflicts of interest may also arise if we enter into commercial arrangements with Scilex in the future. As a result of these actual or apparent conflicts, we may be precluded from pursuing certain growth initiatives.</w:t>
      </w:r>
    </w:p>
    <w:p>
      <w:pPr>
        <w:spacing w:after="0" w:line="192"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Any potential conflict that qualifies as a “related party transaction” (as defined in Item 404 of Regulation S-K under the Securities Act) is subject to review by our audit committee (the “Audit Committee”) in accordance with our related person transaction policy. There can be no assurance that the terms of any such transactions will be as favorable to us or our stockholders as would be the case where there are no overlapping officers or directors.</w:t>
      </w:r>
    </w:p>
    <w:p>
      <w:pPr>
        <w:spacing w:after="0" w:line="262" w:lineRule="exact"/>
        <w:rPr>
          <w:sz w:val="20"/>
          <w:szCs w:val="20"/>
          <w:color w:val="auto"/>
        </w:rPr>
      </w:pPr>
    </w:p>
    <w:p>
      <w:pPr>
        <w:ind w:left="120" w:right="2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Scilex currently performs or supports many of our important corporate functions. Our consolidated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spacing w:after="0" w:line="4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will need to replicate or replace certain functions, systems and infrastructure provided by Scilex to which we no longer have the same access after the Business Combination. We may also need to make investments or hire additional employees to operate without the same access to Scilex’s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Scilex currently performs or supports many important corporate functions for our company. Our financial statements as of and for the periods ended December 31, 2025 and December 31, 2024 reflect charges for these services on an allocation basis. As a result, our financial statements may not be reflective of conditions that would have existed or what our results of operations would have been had we been a stand-alone public company and no longer a majority owned subsidiary of Scilex. In connection with the closing of the Business Combination, we entered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The services under the Transition Services Agreement will be provided for a period of three years on a cost plus 10% basis, provided that the service fees will not exceed $2.0 million per annum until all payments under the Scilex-Oramed Note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have been paid in full in cash, and we will reimburse Scilex for its out-of-pocket fees, costs or expenses.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ERP system, while our systems are currently being fully supported by Scilex.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While we believe that the term of the Transition Services Agreement is sufficient time for us to develop our commercial infrastructure and other business functions, we may not be able to replace these services or enter into appropriate third-party agreements on terms and conditions, including cost, comparable to those that we will receive from Scilex under the Transition Services Agreement. Additionally, after the Transition Services Agreement terminates, we may be unable to sustain the services at the same levels or obtain the same benefits as when we were receiving such services and benefits from Scilex. When we begin to operate these functions separately from Scilex, if we do not have our own adequate systems and business functions in place, or are unable to obtain them from other providers, we may not be able to operate our business effectively or at comparable costs, and our profitability may decline. In addition, we have historically received informal support from Scilex, which may not be addressed in the Transition Services Agreement.</w:t>
      </w:r>
    </w:p>
    <w:p>
      <w:pPr>
        <w:spacing w:after="0" w:line="296"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Chairperson and Chief Financial Officer each holds an executive officer position at Scilex and devotes time to both companies, which could cause a diversion of their time and attention from our business and operations, and as a result could have a material adverse effect on our business and operations.</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Dr. Ji serves as our Executive Chairperson and also serves as the Chairperson of the board of directors of Scilex and its Chief Executive Officer and President. Mr. Ma, our Chief Financial Officer, also serves as the Chief Financial Officer of Scilex. The amount of time that each of Dr. Ji and Mr. Ma devotes to us varies day-to-day and week-to-week depending on the then current needs and demands of each company’s business, transactions each company may be evaluating, and other corporate matters. Such diversion of management attention could have a material adverse effect on our business and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Scilex, whose interests may differ from those of our public shareholders.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December 31, 2025, Scilex (together with certain of its subsidiaries) controls approximately 81.9% of the voting power of our company (excluding voting power represented by the Series A Preferred Stock held by Scilex), which means that, based on its percentage voting power controlled, Scilex will control the vote of all matters submitted to a vote of our stockholders. This control will enable Scilex to control the election of the members of our Board of Directors and all other corporate decisions. In particular, for so long as Scilex continues to own a majority of our Common Stock, Scilex will be able to cause or prevent a change of control of our company or a change in the composition of our Board of Directors and could preclude any unsolicited acquisition of us.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by and among us and certain stockholders, dated September 22, 2025 (the “Registration Rights Agreement”), and the Restated Certificate of Incorporation of Semnur Pharmaceuticals, Inc., filed with the Secretary of the State of Delaware on September 22, 2025 (the “Charter”), Scilex has certain rights, and the ability to take certain actions, that are not otherwise available to all our stockholders. For example, the Registration Rights Agreement provides Scilex the right, subject to certain conditions, to demand that we file a registration statement or request that their shares of Common Stock be covered by a registration statement that we are otherwise filing. In addition, until such time as Scilex first ceases to own greater than 50% of the outstanding voting power of our Common Stock, the Charter effectively provides Scilex with the ability to fill vacancies on our Board of Directors, remove directors (with or without cause), call a special meeting of our stockholders, amend the Charter (subject to approval of our Board of Directors) and amend the Bylaws of Semnur Pharmaceuticals, Inc., effective as of September 22, 2025 (the “Bylaws”). The directors so elected have the authority, subject to the terms of our indebtedness and applicable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and regulations, to issue additional stock, implement stock repurchase programs, declare dividends and make other decisions.</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when Scilex ceases to control a majority of our total voting power, for so long as Scilex continues to own a significant percentage of our Common Stock and for so long as Scilex, together with its affiliates, subsidiaries, successors and assigns (other than Semnur and its subsidiaries) (the “Scilex Group”), owns any shares of our Series A Preferred Stock, Scilex will still be able to significantly influence the composition of our Board of Directors and the approval of actions requiring stockholder approval. Accordingly, for such period of time, Scilex will have significant influence with respect to our management, business plans and policies. Because of the significant ownership position held by Scilex, our classified board structure and the rights granted to Scilex under the Stockholder Agreement with Scilex (the “Scilex Stockholder Agreement”), new investors may not be able to effect a change in our business or management. The concentration of ownership and availability of the foregoing rights could deprive our stockholders of an opportunity to receive a premium for their shares of Common Stock as part of a sale of our company and ultimately might affect the market price of our Common Stock. See the risk factor below titled “</w:t>
      </w:r>
      <w:r>
        <w:rPr>
          <w:rFonts w:ascii="Times New Roman" w:cs="Times New Roman" w:eastAsia="Times New Roman" w:hAnsi="Times New Roman"/>
          <w:sz w:val="18"/>
          <w:szCs w:val="18"/>
          <w:i w:val="1"/>
          <w:iCs w:val="1"/>
          <w:color w:val="auto"/>
        </w:rPr>
        <w:t>Scilex, as the holder of our Series A Preferred Stock, will have rights, preferences and privileges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not held by, and are preferential to, the rights of holders of our Common Stock.</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Furthermore, the interests of Scilex may not be aligned with those of other stockholders and this could lead to actions that may not be in the best interests of our other stockholders. For example, Scilex may have different tax positions or strategic plans for Semnur, which could influence its decisions regarding whether and when we should dispose of assets or incur new or refinance existing indebtedness.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Additionally, Scilex’s significant ownership of us may discourage someone from making a significant equity investment in us, or could discourage transactions involving a change in control.</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Scilex and its affiliates engage in a broad spectrum of activities, including investments in our industry generally. In the ordinary course of their business activities, Scilex and its affiliates may engage in activities where their interests conflict with our interests or those of other stockholders, such as investing in or advising businesses that directly or indirectly compete with certain portions of our business or those businesses that are suppliers or customers of ours. The Charter will provide that, to the fullest extent permitted by law, none of Scilex and its affiliates and any person or entity who, while a stockholder, director, officer or agent of us or any of our affiliates, is a director, officer, principal, partner, member, manager, employee, agent and/or other representative of Scilex and its affiliates (each an “Identified Person”)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or similar business activities or lines of business in which we operate. In addition, to the fullest extent permitted by law, no Identified Person will have any obligation to offer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Scilex may pursue acquisition opportunities that may be complementary to our business and, as a result, those acquisition opportunities may not be available to us. In addition, Scilex may have an interest in pursuing acquisitions, divestitures and other transactions that, in its judgment, could enhance its investment, even though such transactions might involve risks to our stockholders or may not prove beneficial.</w:t>
      </w:r>
    </w:p>
    <w:p>
      <w:pPr>
        <w:spacing w:after="0" w:line="30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Scilex, as the holder of Series A Preferred Stock, has rights, preferences and privileges that are not held by, and are preferential to, the rights of holders of our Common Stock.</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Series A Preferred Stock was issued only to Scilex and is not convertible into shares of Common Stock. However, the holders of Series A Preferred Stock have rights, preferences and privileges that are senior, or in addition, to the rights, preferences and privileges of the holders of Common Stock, including the right to receive,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the event of a change of control, liquidation dissolution or winding up of Semnur, a preference amount out of the assets available for distribution to stockholders before any distribution can be made to holders of Common Stock. The preference amount is $10.00 per share (subject to adjustment as set forth in the certificate of designations (“Certificate of Designations”)). If our Board of Directors declares or pays a dividend on the Common Stock, the holders of the Series A Preferred Stock will participate, on a deemed as-converted-to-common stock basis, in such dividend with the holders of Common Stock.</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holders of Series A Preferred Stock have certain voting rights over our corporate actions (including, among others, any change to the shares of Series A Preferred Stock into cash or other property, the issuance of equity securities that rank on a parity with or senior to the Series A Preferred Stock with respect to dividend rights) or rights upon liquidation, dissolution or winding-up of our company and the amendment of the Charter in a manner that adversely affects the holders of shares of Series A Preferred Stock.</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terms of the Scilex Stockholder Agreement (and subject to certain rights of Oramed), from and after the effective time of the Business Combination, and for so long as the Scilex Group beneficially owns any shares of Series A Preferred Stock, among other things, (i) Scilex shall have the right, but not the obligation, to designate each director to be nominated, elected or appointed to our Board of Directors (each, a “Stockholder Designee” and collectively, the “Stockholder Designees”), regardless of (a) whether such Stockholder Designee is to be elected to our Board of Directors at a meeting of stockholders called for the purpose of electing directors (or by consent in lieu of meeting) or appointed by our Board of Directors in order to fill any vacancy created by the departure of any director or increase in the authorized number of members of our Board of Directors, or (b) the size of our Board of Directors and (ii) we are required to take all actions reasonably necessary, and not otherwise prohibited by applicable law, to cause each Stockholder Designee to be so nominated, elected or appointed to our Board of Directors as more fully described in the Scilex Stockholder Agreement. Scilex shall also have the right to designate a replacement director for any Stockholder Designee that has been removed from our Board of Directors and the right to appoint a representative of Scilex to attend all meetings of the committees of our Board of Directors. Notwithstanding the foregoing, the parties have agreed to ensure that our Board of Directors complies with all applicable requirements of the stock exchange, including independence requirements.</w:t>
      </w:r>
    </w:p>
    <w:p>
      <w:pPr>
        <w:spacing w:after="0" w:line="19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Scilex Stockholder Agreement also provides that we are prohibited from taking certain actions without the consent of Scilex. Such actions include, among other things, amendments to the Certificate of Designations, increases or decreases in the size of our Board of Directors, the incurrence of certain amounts of indebtedness and the payment of dividends on Common Stock.</w:t>
      </w:r>
    </w:p>
    <w:p>
      <w:pPr>
        <w:spacing w:after="0" w:line="174"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on the terms of the Series A Preferred Stock, see the section titled “</w:t>
      </w:r>
      <w:r>
        <w:rPr>
          <w:rFonts w:ascii="Times New Roman" w:cs="Times New Roman" w:eastAsia="Times New Roman" w:hAnsi="Times New Roman"/>
          <w:sz w:val="18"/>
          <w:szCs w:val="18"/>
          <w:i w:val="1"/>
          <w:iCs w:val="1"/>
          <w:color w:val="auto"/>
        </w:rPr>
        <w:t>Description of Securities — Preferred Stock</w:t>
      </w:r>
      <w:r>
        <w:rPr>
          <w:rFonts w:ascii="Times New Roman" w:cs="Times New Roman" w:eastAsia="Times New Roman" w:hAnsi="Times New Roman"/>
          <w:sz w:val="18"/>
          <w:szCs w:val="18"/>
          <w:color w:val="auto"/>
        </w:rPr>
        <w:t>” and the section titled “</w:t>
      </w:r>
      <w:r>
        <w:rPr>
          <w:rFonts w:ascii="Times New Roman" w:cs="Times New Roman" w:eastAsia="Times New Roman" w:hAnsi="Times New Roman"/>
          <w:sz w:val="18"/>
          <w:szCs w:val="18"/>
          <w:i w:val="1"/>
          <w:iCs w:val="1"/>
          <w:color w:val="auto"/>
        </w:rPr>
        <w:t>Certain Relationships and Related Party Transactions — Stockholder Agreement with Scilex.”</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and performance do not meet the expectations of investors or securities analysts, the market price of our securities may decline.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its product candidate,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and cost of our marketing commitments for its product candidate;</w:t>
      </w:r>
    </w:p>
    <w:p>
      <w:pPr>
        <w:spacing w:after="0" w:line="130" w:lineRule="exact"/>
        <w:rPr>
          <w:rFonts w:ascii="Times New Roman" w:cs="Times New Roman" w:eastAsia="Times New Roman" w:hAnsi="Times New Roman"/>
          <w:sz w:val="18"/>
          <w:szCs w:val="18"/>
          <w:color w:val="auto"/>
        </w:rPr>
      </w:pPr>
    </w:p>
    <w:p>
      <w:pPr>
        <w:ind w:left="5540" w:right="3640" w:hanging="4884"/>
        <w:spacing w:after="0" w:line="454" w:lineRule="auto"/>
        <w:tabs>
          <w:tab w:leader="none" w:pos="10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results of any clinical trials relating to our product candidate; 72</w:t>
      </w:r>
    </w:p>
    <w:p>
      <w:pPr>
        <w:sectPr>
          <w:pgSz w:w="11900" w:h="16838" w:orient="portrait"/>
          <w:cols w:equalWidth="0" w:num="1">
            <w:col w:w="11020"/>
          </w:cols>
          <w:pgMar w:left="320" w:top="455"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any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 including but not limited to clinical trial requirements for approvals;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other developments relating to proprietary rights, including patents, litigation matters and our ability to obtain patent protection for its product candidate, government investigations and the results of any proceedings or lawsuits, including, but not limited to, patent or stockholder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initiate a clinical trial or to terminate an existing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introduction of new products by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trends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product development results or intellectual property rights of others;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common stock or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any financial guidance or expectations regarding product development milestones that we may provide to the public;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exceed the estimates and projections of the investment community;</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other factors that may be unrelated to our operating performance or the operating performance of its competitors, including changes in market valuations of similar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its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the market values of any of our potential strategic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Scilex;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including the wars in Ukraine and Israel, and regime change in Venezuela;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or man-made catastrophic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 such as the government closure of Silicon Valley Bank and Signature Bank, and liquidity concerns at other financial institutions.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the Common Stock might worsen if the trading volume of the Common Stock is low.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its business. The realization of any of the above risks or any of a broad range of other risks, including those described in these “Risk Factors”, could have a dramatic and material adverse impact on the market price of our Common Stock.</w:t>
      </w:r>
    </w:p>
    <w:p>
      <w:pPr>
        <w:spacing w:after="0" w:line="292"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we do not expect to pay cash dividends in the foreseeable future. Any return on investment may be limited to the capital appreciation, if any, of Common Stock.</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not paid cash dividends on our Common Stock and do not anticipate paying cash dividends on our Common Stock in the foreseeable future. The payment of dividends on our capital stock will depend on our earnings, financial condition and other business and economic factors affecting us at such time as its board of directors may consider relevant.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of a substantial number of shares of Common Stock may cause the price of the Common Stock to decline.</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the trading price of our Common Stock could decline and it could impair our ability to raise capital through the sale of additional equity securities. The Common Stock held by Jiandong “Peter” Xu, FutureTech Capital LLC, Huifeng Chang, Lei Huang, Jim Mao, You “Patrick” Sun and Kevin Vassily (the “Sponsor Shares”), except those held by our former directors and officers, and the private warrants issued by Denali in connection with its’ IPO (the “Private Warrants”), together with the warrants sold to public investors in connection with the Denali IPO (the “Public Warrants” and, collectively with the Private Warrants, the “Warrants”), are subject to lock-up provisions that restrict the ability to transfer such shares of Common Stock and Private Warrants until one year from the close of the Business Combination, subject to certain exceptions.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possibly annual, fluctuations. Our net loss and other operating results will be affected by numerous factors, including:</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termination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Semnur may become involved;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 regulatory approvals of its product candidate, and the level of underlying demand for such product candidate and purchasing patterns;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pharmaceutical purchases and prices of the timing during which patients who purchase our product satisfy their deductibles under the reimbursement requirements of their health providers’ plans.</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its common stock could decline substantially. Furthermore, any quarterly or annual fluctuations in our operating results may, in turn, cause the price of our Common Stock to fluctuate substantially.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(the “FDIC”) announced that Silicon Valley Bank had been closed by the California Department of Financial Protection and Innovation and on March 12, 2023, Signature Bank was closed by the New York State Department of Financial Services and the FDIC was named receiver. Although Semnur does not maintain any bank accounts with Silicon Valley Bank or Signature Bank, Semnur regularly maintains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issues an adverse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its stock price or trading volume to decline.</w:t>
      </w:r>
    </w:p>
    <w:p>
      <w:pPr>
        <w:spacing w:after="0" w:line="293"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additional equity securities to fund future expansion and pursuant to equity incentive or employee benefit plans. We may also issue additional equity for other purposes. These securities may have the same rights as Common Stock or, alternatively, may have dividend, liquidation or other preferences to our Common Stock. The issuance of additional equity securities will dilute the holdings of existing stockholders and may reduce the share price of our Common Stock.</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entered into in connection with the Business Combination, certain stockholders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our other securities.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collaboration, licensing or other similar arrangements, we may have to relinquish valuable rights to its product candidate, or grant licenses on terms unfavorable to us. If adequate funds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are not available, our ability to achieve profitability or to respond to competitive pressures would be significantly limited and we may be required to delay, significantly curtail or eliminate the development of our product candidate.</w:t>
      </w:r>
    </w:p>
    <w:p>
      <w:pPr>
        <w:spacing w:after="0" w:line="266"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directors and executive officers will own a significant percentage of our capital stock, and have significant influence over our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our directors, executive officers, holders of 5% or more of our capital stock and their respective affiliates beneficially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 in the aggregate, approximately 94.6% of our outstanding voting stock (excluding voting power represented by the Series A Preferred Stock held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Scilex). This concentration of voting power may make it less likely that any other holder of Common Stock will be able to affect the way we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managed and could delay or prevent an acquisition of our company on terms that other stockholders may desire. This could prevent transactions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stockholders might otherwise recover a premium for their shares over current market prices. See “</w:t>
      </w:r>
      <w:r>
        <w:rPr>
          <w:rFonts w:ascii="Times New Roman" w:cs="Times New Roman" w:eastAsia="Times New Roman" w:hAnsi="Times New Roman"/>
          <w:sz w:val="18"/>
          <w:szCs w:val="18"/>
          <w:i w:val="1"/>
          <w:iCs w:val="1"/>
          <w:color w:val="auto"/>
        </w:rPr>
        <w:t>Risk Factors — We are controlled by Scilex,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whose interests may differ from those of our public shareholders</w:t>
      </w:r>
      <w:r>
        <w:rPr>
          <w:rFonts w:ascii="Times New Roman" w:cs="Times New Roman" w:eastAsia="Times New Roman" w:hAnsi="Times New Roman"/>
          <w:sz w:val="18"/>
          <w:szCs w:val="18"/>
          <w:color w:val="auto"/>
        </w:rPr>
        <w:t>” above for additional information regarding Scilex’s influence and control in us. See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Security Ownership of Certain Beneficial Owners and Management</w:t>
      </w:r>
      <w:r>
        <w:rPr>
          <w:rFonts w:ascii="Times New Roman" w:cs="Times New Roman" w:eastAsia="Times New Roman" w:hAnsi="Times New Roman"/>
          <w:sz w:val="17"/>
          <w:szCs w:val="17"/>
          <w:color w:val="auto"/>
        </w:rPr>
        <w:t>” for information regarding the ownership of our outstanding stock by our directors,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officers, and current beneficial owners of 5% or more of our voting securities and their respective affiliates.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tax credit carryforwards may be subject to limitation.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a change of more than 50% in the ownership of a company’s stock, by value, over a three-year period constitutes an ownership change for U.S. federal income tax purposes. An ownership change may limit Semnur’s ability to use its net operating loss carryforwards attributable to the period prior to the change. Semnur has experienced a corporate reorganization in the past and may experience ownership changes in the future as a result of the Business Combination and/or subsequent changes in its stock ownership (some of which shifts are outside its control). As a result, if Semnur earns net taxable income, its ability to use its pre-change net operating loss carryforwards to offset U.S. federal taxable income may become subject to limitations, which could potentially result in increased future tax liability for Semnur.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Semnur’s ability to utilize its NOLs to offset taxable income in the future.</w:t>
      </w:r>
    </w:p>
    <w:p>
      <w:pPr>
        <w:spacing w:after="0" w:line="298"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assumptions that we believe to be reasonable under the circumstances, the results of which form the basis for making judgments about the carrying values of assets, liabilities, equity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Common Stock.</w:t>
      </w:r>
    </w:p>
    <w:p>
      <w:pPr>
        <w:spacing w:after="0" w:line="284" w:lineRule="exact"/>
        <w:rPr>
          <w:sz w:val="20"/>
          <w:szCs w:val="20"/>
          <w:color w:val="auto"/>
        </w:rPr>
      </w:pPr>
    </w:p>
    <w:p>
      <w:pPr>
        <w:ind w:left="120" w:right="7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the Charter and the Bylaws and under Delaware law could make an acquisition of our company, which may be beneficial to its stockholders, more difficult and may prevent attempts by our stockholders to replace or remove our current management.</w:t>
      </w:r>
    </w:p>
    <w:p>
      <w:pPr>
        <w:spacing w:after="0" w:line="2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Charter and the Bylaws, each of which became effective upon completion of the Business Combination, and the General Corporation Law of the State of Delaware (“DGCL”) contain provisions that could make it more difficult for a third party to acquire our company, even if doing so might be beneficial to our stockholders. Among other things, these provisions include:</w:t>
      </w:r>
    </w:p>
    <w:p>
      <w:pPr>
        <w:spacing w:after="0" w:line="81" w:lineRule="exact"/>
        <w:rPr>
          <w:sz w:val="20"/>
          <w:szCs w:val="20"/>
          <w:color w:val="auto"/>
        </w:rPr>
      </w:pPr>
    </w:p>
    <w:p>
      <w:pPr>
        <w:ind w:left="1080" w:right="14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Board of Directors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with staggered three-year terms;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at any time after the time that the Scilex Group first ceases to beneficially own more than 50% of voting power of the then-outstanding shares of Common Stock entitled to vote generally in the election of directors (the “Scilex Trigger Event”), directors may only be removed for cause, and only by the affirmative vote of holders of at least 66 2/3% in voting power of all the then-outstanding shares of Common Stock entitled to vote thereon, voting together as a single class;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from and after the Scilex Trigger Event;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at any time after the Scilex Trigger Event, special meetings may only be called by or at the direction of the Chairperson of our Board of Directors, our Board of Directors or the Chief Executive Officer;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at any time after the Scilex Trigger Event, any alteration, amendment or repeal, in whole or in part, of any provision of the Bylaws by stockholders will require the affirmative vote of the holders of at least 66 2/3% in voting power of all the then-outstanding shares of the Common Stock entitled to vote thereon, voting together as a single class;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and for proposing matters that can be acted upon by stockholders at stockholder meetings.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the occurrence of a Scilex Trigger Event. At that time, such election shall be automatically withdrawn and we will thereafter be governed by Section 203 of the DGCL, except that the restrictions on business combinations of Section 203 of the DGCL will not apply to Scilex or its current or future Affiliates (as defined in the Charter) regardless of its percentage ownership of Common Stock. These provisions could discourage, delay or prevent a transaction involving a change in control of our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of Directors is responsible for appointing the members of our management team, these provisions could in turn affect any attempt by our stockholders to replace current members of our management team.</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the Charter, the Bylaws and Delaware law could make it more difficult for stockholders or potential acquirors to obtain control of our Board of Directors or initiate actions that are opposed by our then-current board of directors and could also delay or impede a merger, tender offer or proxy contest involving us. The existence of these provisions could negatively affect the price of Common Stock and limit opportunities for a stockholder to realize value in a corporate transaction. For additional information regarding these and other provisions, see the section title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In addition, if prospective takeovers are not consummated for any reason, we may experience negative reactions from the financial markets, including negative impacts on the price of our Common Stock.</w:t>
      </w:r>
    </w:p>
    <w:p>
      <w:pPr>
        <w:spacing w:after="0" w:line="291"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the Company.</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Charter,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Charter or the Bylaws; (iv) any claim or cause of action seeking to interpret, apply, enforce or determine the validity of the Charter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the foregoing forum selection provision will not apply to claims arising under the Exchange Act or any other claim for which the federal courts have exclusive jurisdiction.</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Charter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Charter further provides that any person or entity purchasing or otherwise acquiring any interest in shares of our Common Stock is deemed to have notice of and consented to the provisions of the Charter described above. See the section of this prospectus titled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for additional information.</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forum selection provisions in the Charter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w:t>
      </w:r>
    </w:p>
    <w:p>
      <w:pPr>
        <w:spacing w:after="0" w:line="16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of the date of this prospectus,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p>
    <w:p>
      <w:pPr>
        <w:spacing w:after="0" w:line="6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Scilex controls a majority of the voting power of the outstanding shares of Common Stock. As a result, if our Nasdaq listing application is approved, we will be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w:t>
      </w:r>
    </w:p>
    <w:p>
      <w:pPr>
        <w:spacing w:after="0" w:line="89" w:lineRule="exact"/>
        <w:rPr>
          <w:sz w:val="20"/>
          <w:szCs w:val="20"/>
          <w:color w:val="auto"/>
        </w:rPr>
      </w:pPr>
    </w:p>
    <w:p>
      <w:pPr>
        <w:ind w:left="1080" w:right="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board of directors that is composed of a majority of “independent directors” as defined under the Nasdaq Listing Rules;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a compensation committee that is composed entirely of independent directors or have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have director nominations be made, or recommended to the full board of directors, by its independent directors or by a nominating and corporate governance committee that is composed entirely of independent directors, and to adopt a written charter or a board resolution addressing the nominations process.</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While we do not presently intend to rely on these exemptions, we may opt to utilize these exemptions in the future as long as we remain a controlled company. Accordingly, our stockholders may not have the same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protections afforded to stockholders of companies that are subject to all of the corporate governance requirements of Nasdaq.</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we cease to be a “controlled company” in the future and we are then listed on Nasdaq, we will be required to comply with the Nasdaq listing standards, which may require replacing a number of directors and will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devote substantial time to related compliance initiatives.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its legal and financial compliance costs and to make some activities more time-consuming and costly, which will increase its operating expenses. For example, we expect these rules and regulations to make it more difficult and more expensive for we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for we to attract and retain qualified persons to serve on our Board of Directors, our board committees or as executive officers. Advocacy efforts by stockholders and third parties may also prompt additional changes in governance and reporting requirements, which could further increase costs.</w:t>
      </w:r>
    </w:p>
    <w:p>
      <w:pPr>
        <w:spacing w:after="0" w:line="19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we expect that we will need to implement an ERP system.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its business using the system, which may result in substantial costs. Any disruptions or difficulties in implementing or using an ERP system could adversely affect our controls and harm its business, financial condition and results of operations, including its ability to forecast or make sales and collect its receivables. Moreover, such disruption or difficulties could result in unanticipated costs and diversion of management attention.</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As a public company, we will be required to incur additional costs and obligations in order to comply with SEC rules that implement Section 404 of the Sarbanes-Oxley Act. Under these rules, we will be required to make a formal assessment of the effectiveness of its internal control over financial reporting, and once we cease to be an emerging growth company, we will be required to include an attestation report on internal control over financial reporting issued by its independent registered public accounting firm. To achieve compliance with Section 404 within the prescribed period, we will be engaging in a process to document and evaluate its internal control over financial reporting, which is both costly and challenging. In this regard, we will need to continue to dedicate internal resources, potentially engage outside consultants and adopt a detailed work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detailed standards under the rules. During the course of its testing, our management may identify material weaknesses or deficiencies which may not be remedied in time to meet the deadline imposed by the Sarbanes-Oxley Act. See “</w:t>
      </w:r>
      <w:r>
        <w:rPr>
          <w:rFonts w:ascii="Times New Roman" w:cs="Times New Roman" w:eastAsia="Times New Roman" w:hAnsi="Times New Roman"/>
          <w:sz w:val="18"/>
          <w:szCs w:val="18"/>
          <w:i w:val="1"/>
          <w:iCs w:val="1"/>
          <w:color w:val="auto"/>
        </w:rPr>
        <w:t>Risk Factors — We have identified material weaknesses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internal control over financial reporting. Any material weakness may cause us to fail to timely and accurately report our financial results or result in a material misstatement of our financial statements.</w:t>
      </w:r>
      <w:r>
        <w:rPr>
          <w:rFonts w:ascii="Times New Roman" w:cs="Times New Roman" w:eastAsia="Times New Roman" w:hAnsi="Times New Roman"/>
          <w:sz w:val="18"/>
          <w:szCs w:val="18"/>
          <w:color w:val="auto"/>
        </w:rPr>
        <w:t>” above for additional information regarding previously identified material weaknesses.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and other obligations place significant demands on our management and administrative and operational resources, including accounting resources.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its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we and there could be a material adverse effect on our business, financial condition and results of operations.</w:t>
      </w:r>
    </w:p>
    <w:p>
      <w:pPr>
        <w:spacing w:after="0" w:line="29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satisfy the initial listing requirements and other rules of Nasdaq, our securities may not be listed on Nasdaq, which could negatively impact the price of its securities and your ability to sell them.</w:t>
      </w:r>
    </w:p>
    <w:p>
      <w:pPr>
        <w:spacing w:after="0" w:line="5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intend to seek a listing of our securities on Nasdaq. We cannot assure you that we will be able to meet those initial listing requirements at that time. Our securities are currently quoted on the OTC Markets.</w:t>
      </w:r>
    </w:p>
    <w:p>
      <w:pPr>
        <w:spacing w:after="0" w:line="16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Even if our securities are listed on Nasdaq, we cannot assure you that our securities will continue to be listed on Nasdaq. If we fail to satisfy Nasdaq’s continued listing requirements, such as the corporate governance requirements or the minimum closing bid price requirement, Nasdaq may take steps to delist our Common Stock. Such a delisting would likely have a negative effect on the price of Common Stock and would impair a stockholder’s ability to sell or purchase Common Stock when a stockholder wishes to do so.</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If Nasdaq does not list our securities, or subsequently delists our securities from trading, we could face significant consequences, including:</w:t>
      </w:r>
    </w:p>
    <w:p>
      <w:pPr>
        <w:spacing w:after="0" w:line="131"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Even if Nasdaq approves our listing application, in the event of a subsequent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 Listing Rules.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U.S. federal income tax reform could adversely affect Semnur.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Changes to tax laws, which changes may have retroactive application, could adversely affect us or holders of our Common Stock. In recent years, many changes have been made to applicable tax laws and changes are likely to continue to occur in the future.</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March 27, 2020, 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Subsequently,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July 4, 2025, legislation commonly referred to as the One Big Beautiful Bill Act (the “OBBBA”) was signed into law. The OBBBA includes significant provisions, such as the permanent extension of certain expiring provisions of the TCJA, allowing for accelerated tax deductions for qualified property and research expenditures, and the restoration of favorable tax treatment for certain business provisions. The legislation has multiple effective dates, with certain provisions effective in calendar year 2025 and others implemented through calendar year 2027. The aggregate impact of the OBBBA remains uncertain.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are exercisable for Common Stock, which would increase the number of shares eligible for future resale in the public market and result in dilution to our stockholders.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Outstanding Warrants to purchase an aggregate of 7,432,122 shares of Common Stock became exercisable in accordance with the terms of the warrant agreement, dated April 6, 2022, by and between VStock Transfer, LLC (“VStock”), as warrant agent, and Denali (the “Warrant Agreement”), governing those securities, upon completion of the Business Combination. The exercise price of these Warrants is $11.50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prevailing market prices of Common Stock. However, there is no guarantee that the Warrants will ever be in the money prior to their expiration, and as such, the Warrants may expire worthless. See below risk factor, “</w:t>
      </w:r>
      <w:r>
        <w:rPr>
          <w:rFonts w:ascii="Times New Roman" w:cs="Times New Roman" w:eastAsia="Times New Roman" w:hAnsi="Times New Roman"/>
          <w:sz w:val="18"/>
          <w:szCs w:val="18"/>
          <w:i w:val="1"/>
          <w:iCs w:val="1"/>
          <w:color w:val="auto"/>
        </w:rPr>
        <w:t>The Warrants may never be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money, and they may expire worthless and the terms of the Warrants may be amended in a manner adverse to a holder if holders of a majority of the then-outstanding Warrants approve of such amendment</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Warrants may never be in the money, they may expire worthless and the terms of the Warrants may be amended in a manner adverse to a holder if holders of a majority of the then-outstanding Warrants approve of such amendment.</w:t>
      </w:r>
    </w:p>
    <w:p>
      <w:pPr>
        <w:spacing w:after="0" w:line="51"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Warrants were issued in registered form under the Warrant Agreement between VStock, as warrant agent, and Denali. The Warrant Agreement provides that the terms of the Warrants may be amended without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redeem any unexpired Warrants prior to their exercise at a time that is disadvantageous to you, thereby making the Warrants worthless.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redeem the Warrants at any time after they become exercisable and prior to their expiration for a number of shares of Common Stock determined based on the fair market value of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Artificial Intelligence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development, adoption, and use of artificial intelligence (“AI”) technologies are rapidly transforming the life sciences industry, enabling faster data analysis, personalized medicine, and advancements in genomic services and sample management through machine learning and predictive modeling. However, the use of AI technologies by us or our vendors presents risks and challenges that could adversely impact our business. For example, disruption or failure in AI functionality could adversely affect our business, cause delays or inaccuracies in our offerings, or harm our reputation. Additionally, AI algorithms may be flawed and datasets in AI training, development and/or operations may be insufficient, of poor quality, or embed unwanted forms of bias. Outputs of AI systems may include hallucinations, bias or other forms of discrimination. Inappropriate or controversial data practices by, or practices reflecting inherent biases of, data scientists, engineers, and end-users of our systems could impair the acceptance of AI enhanced solutions. If the recommendations, forecasts, or analyses that AI-powered applications assist in producing are deficient or inaccurate, we could be subjected to competitive harm, potential legal liability, and brand or reputational harm. The use of agentic AI models could take unanticipated actions, generate unauthorized code paths or initiate transactions that breach client policies, regulatory requirements or our internal controls, or produce outputs or take action that is incorrect, that reflects biases included in the training data that results in infringements on property rights of others or that is otherwise harmful. Further,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Some AI scenarios may also present ethical issues, for example, due to unintentional biases that may stem from the predictive nature of AI algorithms and we may enable or offer solutions that draw controversy due to their perceived and actual impact on society. We could suffer reputational or competitive damage in addition to regulatory scrutiny. Compliance with new or changing laws, regulations, or industry standards relating to AI may impose significant operational and financial burdens and may limit our ability to develop, deploy, or use AI technologies in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Cryptocurrency</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As disclosed elsewhere in this prospectus, on September 23, 2025, we entered into the Biconomy SPA with Biconomy, pursuant to which we agreed to issue and sell, and Biconomy agreed to purchase, an aggregate of 6,250,000 Biconomy Shares, for a purchase price of $16.00 per share, payable in Bitcoin. The closing of the transactions contemplated by the Biconomy SPA has not occurred as of the date of this prospectus. However, before making an investment decision, you should consider carefully whether such pending transaction has been completed and any other disclosures that we may make from time to time regarding the closing of such transaction and/or our future cryptocurrency financings or treasury strategy.</w:t>
      </w:r>
    </w:p>
    <w:p>
      <w:pPr>
        <w:spacing w:after="0" w:line="28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Company intends to use the net proceeds from the Biconomy SPA, which as of the date of this prospectus has not closed and will be paid in Bitcoin, to fund investments in other companies. The price of Bitcoin has been, and will likely continue to be, highly volatile. The Company’s operating results and share price may significantly fluctuate, including due to the highly volatile nature of the price of such digital assets and erratic market movements.</w:t>
      </w:r>
    </w:p>
    <w:p>
      <w:pPr>
        <w:spacing w:after="0" w:line="7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the Biconomy SPA, which as of the date of this prospectus has not closed and will be paid in Bitcoin, to establish the Company’s cryptocurrency treasury operations and to fund our investment in other companies. Digital assets generally are highly volatile assets. In addition, digital assets do not pay interest or other returns and so the ability to generate a return on investment from the net proceeds of any capital raisings will depend on whether there is appreciation in the value of digital assets following our purchases of digital assets with the net proceeds from such capital raisings. Future fluctuations in digital asset trading prices may result in our converting digital assets into cash with a value substantially below what we paid for such digital assets.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cryptocurrency treasury strategy has not been implemented or tested.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cryptocurrency acquisition and treasury strategy has not been tested. Although we believe cryptocurrency has the potential to serve as a hedge against inflation in the long term, the short-term price of cryptocurrency as an asset class declined in recent periods during which the inflation rate increased. Some investors and other market participants may disagree with our cryptocurrency acquisition strategy or actions we undertake to implement it. If cryptocurrency prices were to decrease or our cryptocurrency acquisition strategy otherwise proves unsuccessful, our financial condition, results of operations, and the market price of our Common Stock would be materially adversely impacted.</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Bitcoin and other digital assets are novel assets, and are subject to significant legal, commercial, regulatory and technical uncertainty, which could materially adversely affect the Company’s financial position, operations and prospects.</w:t>
      </w:r>
    </w:p>
    <w:p>
      <w:pPr>
        <w:spacing w:after="0" w:line="5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Bitcoin and other digital assets are relatively novel and are subject to significant uncertainty, which could adversely impact their price. The application of state and federal securities laws and other laws and regulations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digital assets is unclear in certain respects, and it is possible that regulators in the United States or foreign countries may interpret or apply existing laws and regulations in a manner that adversely affects the price of Bitcoin or other digital assets.</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the U.S. executive branch, SEC, the European Union’s Markets in Crypto Assets Regulation, among others, have been active in recent years, and in the U.K., the Financial Services and Markets Act 2023, or FSMA 2023 became law. It is not possible to predict whether, or when, any of these developments will lead to Congress granting additional authorities to the SEC, Commodity Futures Trading Commission (“CFTC”),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Bitcoin specifically. The consequences of increased regulation of digital assets and digital asset activities could adversely affect the market price of Bitcoin and in turn adversely affect the market price of our Common Stock.</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means of payment, and the availability and popularity of alternatives to Bitcoin. Even if growth in Bitcoin adoption occurs in the near or medium-term, there is no assurance that Bitcoin usage will continue to grow over the long-term.</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Similarly, the open-source nature of the Bitcoin blockchain means the contributors and developers of the Bitcoin blockchain are generally not directly compensated for their contributions in maintaining and developing the blockchain, and any failure to properly monitor and upgrade the Bitcoin blockchain could adversely affect the Bitcoin blockchain and negatively affect the price of Bitcoin.</w:t>
      </w:r>
    </w:p>
    <w:p>
      <w:pPr>
        <w:spacing w:after="0" w:line="1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liquidity of Bitcoin may also be impacted to the extent that changes in applicable laws and regulatory requirements negatively impact the ability of exchanges and trading venues to provide services for Bitcoin and other digital assets.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the digital assets that we hold are classified as a security, we may be subject to extensive regulation, which could result in significant costs or force us to cease operations.</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Regulatory changes or interpretations that classify digital assets that we hold as a security under the Securities Act of 1933, as amended, or Investment Company Act of 1940, as amended (the “Investment Company Act”), could require us to register and comply with additional regulations. Compliance with these requirements could impose extraordinary, non-recurring expenses on our business. If the costs and regulatory burdens become too great, we may be forced to modify or cease certain operations, which could be detrimental to our investors.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the SEC or other regulators determine that digital assets that we may hold qualify as securities, we may be required to register as an investment company under the Investment Company Act. This classification would subject us to additional periodic reporting, disclosure requirements, and regulatory compliance obligations, significantly increasing our operational costs. In addition, if Bitcoin or another digital asset we hold were determined to constitute a security for purposes of the federal securities laws, we would likely take steps to reduce the percentage of Bitcoin or such other digital assets that constitute investment assets under the Investment Company Act. These steps may include, among others, selling Bitcoin that we might otherwise hold for the long term and deploying our cash in non-investment assets, and we may be forced to sell our Bitcoin or other digital assets at unattractive prices.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Further, state regulators may conclude that the digital assets we hold are securities under state laws, requiring us to comply with state-specific securities regulations. States like California have stricter definitions of “investment contracts” than the SEC, increasing the risk of additional regulatory scrutiny.</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cryptocurrencies we hold and adversely affect our business.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emergence or growth of digital assets other than cryptocurrencies we may hold could have a material adverse effect on our financial condition. There are numerous alternative digital assets and many entities, including consortia and financial institutions, are researching and investing resources into private or permissioned blockchain platforms or digital assets. For example, some cryptocurrency networks utilize proof-of-work mining. Others use a “proof-of-stake” mechanism for validating transactions that requires significantly less computing power than proof-of-work mining. If the mechanisms for validating transactions in alternative digital assets are perceived as superior to the mechanisms used by the digital assets in which we invest, those digital assets could gain market share.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Other alternative digital assets could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other digital assets as a medium of exchange and store of value, particularly on digital asset trading platforms.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Additionally, central banks in some countries have started to introduce digital forms of legal tender. For example, China’s Central Bank Digital Currency (“CBDC”) project was made available to consumers in January 2022, and governments including the United States, the United Kingdom, the European Union, and Israel have discussed the potential creation of new CBDCs. Whether or not they incorporate blockchain or similar technology, CBDCs, as legal tender in the issuing jurisdiction, could also compete with, or replace, other digital assets as a medium of exchange or store of value. As a result, the emergence or growth of these or other digital assets could cause the market price of cryptocurrencies we hold to decrease, which could have a material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lack of legal recourse and insurance for digital assets increases the risk of total loss in the event of theft or destruction.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irreversibility of digital asset transactions exposes us to risks of theft, loss and human error, which could negatively impact our business.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Digital asset transactions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we plan to regularly transfer digital assets to or from vendors, consultants and services providers, it is possible that, through computer or human error, or through theft or criminal action, such assets could be transferred in incorrect amounts or to unauthorized third parties.</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accounting treatment of cryptocurrency holdings could have significant accounting impacts, including increasing the volatility of our results.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2023-08, which upon our adoption will require us to measure in-scope cryptocurrency assets at fair value in our statement of financial position, and to recognize gains and losses from changes in the fair value of our cryptocurrency in net income each reporting period. ASU 2023-08 will also require us to provide certain interim and annual disclosures with respect to our cryptocurrency holdings. The standard is effective for our interim and annual periods beginning January 1, 2025, with a cumulative-effect adjustment to the opening balance of retained earnings as of the beginning of the annual reporting period in which we adopt the guidance. We adopted ASU 2023-08 for the fiscal year beginning January 1, 2025 and the adoption did not have any impact to our consolidated financial statements as we did not have any cryptocurrency holdings at adoption. Due in particular to the volatility in the price of cryptocurrencies, we expect the adoption of ASU 2023-08 to have a material impact on our financial results in future periods, increase the volatility of our financial results, and affect the carrying value of our cryptocurrency on our balance sheet, and it could also have adverse tax consequences, which in turn could have a material adverse effect on our financial results and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market price of our Common Stock. Additionally, as a result of ASU 2023-08 requiring a cumulative-effect adjustment to our opening balance of retained earnings as of the beginning of the annual period in which we adopt the guidance and not permitting retrospective restatement of our historical financial statements, our future results will not be comparable to results from periods prior to our adoption of the guidance.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Changes in our ownership of cryptocurrency could have accounting, regulatory and other impacts, as well. While we currently intend to primarily own cryptocurrency directly, we may investigate other potential approaches to owning cryptocurrencies, including indirect ownership (for example, through ownership interests in a fund that owns cryptocurrencies and deemed ownership via ownership of cryptocurrency derivative assets). If we were to own all or a portion of our cryptocurrencies in a different manner, the accounting treatment for our cryptocurrencies, our ability to use our cryptocurrencies as collateral for additional borrowings, and the regulatory requirements to which we are subject, may correspondingly change. For example, the volatile nature of cryptocurrencies may force us to liquidate our holdings to use it as collateral, which could be negatively impacted by any disruptions in the cryptocurrency market, and if liquidated, the value of the collateral would not reflect potential gains in market value of our cryptocurrency.</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Cryptocurrency holdings are less liquid than our existing cash and cash equivalents and may not be able to serve as a source of liquidity for us to the same extent as cash and cash equivalents.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cryptocurrency at favorable prices or at all. Further, cryptocurrency which we hold with our custodians does not enjoy the same protections as are available to cash or securities deposited with or transacted by institutions subject to regulation by the Federal Deposit Insurance Corporation or the Securities Investor Protection Corporation. If we are unable to sell our cryptocurrency, enter into additional capital raising transactions using cryptocurrency as collateral, or otherwise generate funds using our cryptocurrency holdings, or if we are forced to sell our cryptocurrency at a significant loss, in order to meet our working capital requirements, our business and financial condition could be negatively impacted.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Cryptocurrencies do not pay interest or dividends.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Cryptocurrencies do not pay interest or other returns and we will only generate cash from our cryptocurrency holdings if we sell our cryptocurrency or implement strategies to create income streams or otherwise generate cash by using our cryptocurrency holdings. Even if we pursue any such strategies, we may be unable to create income streams or otherwise generate cash from our cryptocurrency holdings, and any such strategies may subject us to additional risks.</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5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cryptocurrency treasury strategy, our use of leverage, the manner in which our cryptocurrency is intended to be custodied, our ability to engage in transactions with affiliated parties and our operating and investment activities generally are not subject to the extensive legal and regulatory requirements and prohibitions that apply to investment companies and investment advisers. Consequently, our Board of Directors has broad discretion over the investment, leverage and cash management policies it authorizes, whether in respect of our cryptocurrency holdings or other activities we may pursue, and has the power to change our current policies, including our strategy of acquiring and holding cryptocurrency.</w:t>
      </w:r>
    </w:p>
    <w:p>
      <w:pPr>
        <w:spacing w:after="0" w:line="287"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cryptocurrency, or if our private keys are lost or destroyed, or other similar circumstances or events occur, we may lose some or all of our cryptocurrency and our financial condition and results of operations could be materially adversely affected.</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Security breaches and cyberattacks are of particular concern with respect to cryptocurrency. Blockchain-based cryptocurrencies and the entities that provide services to participants in the cryptocurrency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93" w:lineRule="exact"/>
        <w:rPr>
          <w:sz w:val="20"/>
          <w:szCs w:val="20"/>
          <w:color w:val="auto"/>
        </w:rPr>
      </w:pPr>
    </w:p>
    <w:p>
      <w:pPr>
        <w:ind w:left="1080" w:right="40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cryptocurrency in a manner that may not be covered by insurance or the liability provisions of the custody agreements with the custodians who hold our cryptocurrency;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225"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cryptocurrency ecosystem or in the use of the cryptocurrency network to conduct financial transactions, which could negatively impact us.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cryptocurrency,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Israel-Hamas and Israel-Iran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conflicts, or other future conflicts, including potential proliferation of malware into systems unrelated to such conflicts. Any future breach of our operations or those of others in the cryptocurrency industry, including third-party services on which we rely, could materially and adversely affect our financial condition and results of operations.</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custodially-held cryptocurrencies may become part of the custodian’s insolvency estate if one or more of our custodians enters bankruptcy, receivership or similar insolvency proceedings.</w:t>
      </w:r>
    </w:p>
    <w:p>
      <w:pPr>
        <w:spacing w:after="0" w:line="5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Initially, we plan to hold all of our cryptocurrency in custody accounts at either a U.S.-based, institutional-grade custodian that has demonstrated a record of regulatory compliance and information security or offshore third party managed custody accounts, which the Company will control. As we further execute on our strategy, we may expand our holdings to multiple similar custodians.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our custodially-held cryptocurrencies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cryptocurrencies and this may ultimately result in the loss of the value related to some or all of such assets.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and the filing and subsequent settlement of a civil fraud lawsuit have highlighted the counterparty risks applicable to owning and transacting in digital assets. These bankruptcies, closures, liquidations and other events have likely negatively impacted the adoption rate and use of cryptocurrencies. Additional bankruptcies, closures, liquidations, regulatory enforcement actions or other events involving participants in the digital assets industry in the future may further negatively impact the adoption rate, price, and use of cryptocurrencies, limit the availability to us of financing collateralized by such assets, or create or expose additional counterparty risks. Any loss associated with such insolvency proceedings is unlikely to be covered by any insurance coverage we maintain related to our cryptocurrencies. Even if we are able to prevent our cryptocurrencies from being considered the property of a custodian’s bankruptcy estate as part of an insolvency proceeding, it is possible that we would still be delayed or may otherwise experience difficulty in accessing our cryptocurrencies held by the affected custodian during the pendency of the insolvency proceedings. Any such outcome could have a material adverse effect on our financial condition and the market price of our listed securities.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 FOR SECURITIES AND DIVIDEND POLICY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are currently traded on the Pink Limited Market of the OTC Markets under the symbols “SMNR” and “SMNRW,” respectively. As of April 30, 2026, there were 17 holders of record of our Common Stock and one holder of record of our Public Warrants, which amount does not include participants of The Depository Trust Company or beneficial owners holding shares through nominee names.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of Directors. It is the present intention of our Board of Directors to retain all earnings, if any, for use in our business operations and, accordingly, our Board of Directors does not anticipate declaring any dividend in the foreseeable future. Should we decide in the future to do so, as a holding company, our ability to pay dividends on our capital stock and meet other obligations depends upon the receipt of dividends or other payments from our operating subsidiaries, including Legacy Semnur. Further, our ability to pay dividends may be limited by covenants of any existing and future outstanding indebtedness we or our subsidiaries incur.</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320" w:top="455"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receive no proceeds from the sale of the Resale Shares or the Private Warrants by the Selling Securityholders. The Selling Securityholders will pay any underwriting discounts, selling commissions or transfer taxes incurred in disposing of the Resale Shares and the expenses of any attorney or other advisor they decide to employ. We will bear all other costs, fees and expenses incurred in effecting the registration of the Resale Shares and the Warrants covered by this prospectus. These may include, without limitation, all registration, filing, stock exchange fees, printing expenses, all fees and expenses of complying with applicable securities laws and the fees and disbursements of our counsel and of our independent accountants and reasonable fees.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$85.5 million from the exercise of the Warrants, assuming the exercise in full of all of the Warrants for cash, but will not receive any proceeds from the sale of the shares of our Common Stock issuable upon such exercise. We expect to use the proceeds from the exercise of the Warrants for cash for working capital and general corporate purposes, which may include capital expenditures, commercial, research and development expenditures, regulatory affairs expenditures, clinical trial expenditures, acquisitions of new technologies and investments, business combinations and the repayment, refinancing, redemption or repurchase of indebtedness or capital stock. However, we have not designated any specific uses and have no current agreement with respect to any acquisition or strategic transaction. As of the date of this prospectus, we cannot specify with certainty all of the particular uses, and the respective amounts we may allocate to those uses, for any proceeds we receive from the exercise of the Warrants. Accordingly, we will retain broad discretion over the use of these proceeds. Pending our use of the proceeds as described above, we intend to invest such proceeds in interest-bearing instruments.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purchase, ownership and disposition of our Common Stock and Warrants, which we refer to collectively as our “securities.” This discussion is based on provisions of the Code, the Treasury Regulations promulgated thereunder (whether final, temporary, or proposed), administrative rulings of the IRS, and judicial decisions, all as in effect on the date hereof, and all of which are subject to differing interpretations or change, possibly with retroactive effect. This discussion does not purport to be a complete analysis or listing of all potential U.S. federal income tax consequences relating to the purchase, ownership and disposition of our securities. In addition, this discussion does not address all aspects of U.S. federal income tax consequences to particular holders nor does it take into account the individual facts and circumstances of any particular holder that may affect the U.S. federal income tax consequences to such holder, and accordingly, is not intended to be, and should not be construed as, tax advice. This discussion does not address the U.S. federal 3.8% Medicare tax imposed on certain net investment income or any aspects of U.S. federal taxation other than those pertaining to the income tax (such as the gift or estate tax), nor does it address any tax consequences arising under any U.S. state, local or non-U.S. tax laws. Holders should consult their own tax advisors regarding such tax consequences in light of their particular circumstances.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ruling has been requested or will be obtained from the IRS with respect to the U.S. federal income tax consequences to a holder of the purchase, ownership or disposition of our securities; thus, there can be no assurance that the IRS will not challenge the U.S. federal income tax treatment described below or that, if challenged, such treatment will be sustained by a court.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summary is limited to considerations relevant to holders that hold our securities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spacing w:after="0" w:line="81"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or 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who elect to apply a mark-to-market method of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tax-deferred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 partnerships or other pass-through entities or investors or beneficial owners in such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commodities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securities through the issuance of restricted stock under an equity incentive plan or through a tax-qualified retirement plan or otherwise as compensation;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(directly or through attribution) 5% or more (by vote or value) of the outstanding securities;</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a position in a “straddle,” as part of a “synthetic security” or “hedge,” as part of a “conversion transaction,” “constructive sale” or other integrated investment or risk reduction transaction;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(within the meaning of Section 897(l)(2) of the Code and entities whose interests are held by qualified foreign pension funds;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foreign corporations with respect to which there are one or more United States shareholders within the meaning of Treasury Regulation Section 1.367(b)-3(b)(1)(ii).</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discussion, the term “U.S. Holder” means a beneficial owner of our securities that is, for U.S. federal income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that is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“Non-U.S. Holder” means a beneficial owner of our securities, that is neither a U.S. Holder nor a partnership (nor an entity or arrangement treated as a partnership) for U.S. federal income tax purposes.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for this purpose any entity or arrangement that is treated as a partnership for U.S. federal income tax purposes, holds our securities, the U.S. federal income tax treatment of a partner in such partnership will generally depend on the status of the partner and the activities of the partnership. A holder that is a partnership and the partners in such partnership should consult their own tax advisors with regard to the U.S. federal income tax consequences of the ownership and disposition of our securities.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(such as gift and estate taxes) other than income taxes.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THIS SUMMARY DOES NOT PURPORT TO BE A COMPREHENSIVE ANALYSIS OR DESCRIPTION OF ALL POTENTIAL U.S. FEDERAL INCOME TAX CONSEQUENCES OF THE OWNERSHIP AND DISPOSITION OF OUR SECURITIES. IN ADDITION, THE U.S. FEDERAL INCOME TAX TREATMENT OF THE BENEFICIAL OWNERS OF OUR SECURITIES MAY BE AFFECTED BY MATTERS NOT DISCUSSED HEREIN AND DEPENDS IN SOME INSTANCES ON DETERMINATIONS OF FACT AND INTERPRETATIONS OF COMPLEX PROVISIONS OF U.S. FEDERAL INCOME TAX LAW FOR WHICH NO CLEAR PRECEDENT OR AUTHORITY MAY BE AVAILABLE. HOLDERS OF OUR SECURITIES SHOULD CONSULT WITH THEIR TAX ADVISORS REGARDING THE PARTICULAR TAX CONSEQUENCES TO THEM OF THE OWNERSHIP AND DISPOSITION OF OUR SECURITIES INCLUDING THE APPLICABILITY AND EFFECTS OF U.S. FEDERAL, STATE, LOCAL, AND OTHER TAX LAWS.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 — Gain or Loss on Sale, Taxable Exchange or Other Taxable Disposition of Common Stock</w:t>
      </w:r>
      <w:r>
        <w:rPr>
          <w:rFonts w:ascii="Times New Roman" w:cs="Times New Roman" w:eastAsia="Times New Roman" w:hAnsi="Times New Roman"/>
          <w:sz w:val="18"/>
          <w:szCs w:val="18"/>
          <w:color w:val="auto"/>
        </w:rPr>
        <w:t>” below.</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preferential tax rate accorded to long-term capital gains.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applicable to qualified dividends. In addition, the rate reduction will not apply to dividends if the recipient of a dividend is obligated to make related payments with respect to positions in substantially similar or related property. This latter disallowance applies even if the minimum holding period has been met.</w:t>
      </w:r>
    </w:p>
    <w:p>
      <w:pPr>
        <w:spacing w:after="0" w:line="19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the respective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Common Stock, including on a redemption that is treated as a sale or exchange under Section 302 of the Code. In the case of a redemption, such redemption generally will be treated as a sale or exchange of the Common Stock (rather than as a corporate distribution) if the redemption (i) is “substantially disproportionate” with respect to the U.S. Holder, (ii) results in a “complete termination” of the U.S. Holder’s interest or (iii) is “not essentially equivalent to a dividend” with respect to the U.S. Holder. The redemption of our Common Stock will not be essentially equivalent to a dividend if it results in a “meaningful reduction” of such U.S. Holder’s proportionate interest in us. Whether the redemption will result in a meaningful reduction in a U.S. Holder’s proportionate interest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Any such gain or loss recognized on the sale, taxable exchange or other taxable disposition of our Common Stock, including on a redemption as described above,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equal the U.S. Holder’s acquisition cost for such Common Stock (or, in the case of Common Stock received upon exercise of a Warrant, the</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U.S. Holder’s initial basis for such Common Stock, as discussed below under “Exercise of a Warrant”), less any prior distributions treated as a return of capital.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the exercise of a Warrant for cash. The U.S. Holder’s initial tax basis in the share of our Common Stock received upon exercise of the Warrant will generally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initial tax basis in the Common Stock received generally should equal the holder’s adjusted tax basis in the Warrant. If the cashless exercise were treated as not being a realization event, it is unclear whether a U.S. Holder’s holding period for the Common Stock would commence on the date of exercise of the Warrant or the day following the date of exercise of the Warrant; in either case, the holding period would not include the period during which the U.S. Holder held the Warrant. If, instead, the cashless exercise were treated as a recapitalization, the holding period of the Common Stock generally would include the holding period of the Warrant.</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of a Warrant could be treated in part as a taxable exchange in which gain or loss is recognized. In such event, a U.S. Holder could be deemed to have surrendered a portion of the Warrants being exercised having a value equal to the exercise price of such Warrants in satisfaction of such exercise price. Although not free from doubt, such U.S. Holder generally should recognize capital gain or loss in an amount equal to the difference between the fair market value of the Warrants deemed surrendered to satisfy the exercise price and the U.S. Holder’s adjusted tax basis in such surrendered Warrants. In this case, a U.S. Holder’s initial tax basis in the Common Stock received would equal the sum of the exercise price and the U.S. holder’s adjusted tax basis in the Warrants exercised. It is unclear whether a U.S. Holder’s holding period for the Common Stock would commence on the date of exercise of the Warrant or the day following the date of exercise of the Warrant; in either case, the holding period would not include the period during which the U.S. Holder held the Warrant. Due to the uncertainty and absence of authority on the U.S. federal income tax treatment of a cashless exercise, including when a U.S. Holder’s holding period would commence with respect to the Common Stock received, U.S. Holders are urged to consult their tax advisors regarding the tax consequences of a cashless exercise.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a sale, exchange (other than by exercise), redemption (other than a redemption for Common Stock), or expiration of a Warrant, a</w:t>
      </w:r>
    </w:p>
    <w:p>
      <w:pPr>
        <w:spacing w:after="0" w:line="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U.S. Holder (as described below under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Such gain or loss generally will be treated as long-term capital gain or loss if the Warrant is held by the U.S. Holder for more than one year at the time of such disposition or expiration. If a Warrant is allowed to lapse unexercised, a U.S. Holder will generally recognize a capital loss equal to such holder’s adjusted tax basis in the Warrant. The deductibility of capital losses is subject to limitations.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redemption of Warrants for Common Stock described in this prospectus under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should be treated as a “recapitalization” for U.S. federal income tax purposes. Accordingly, a U.S. Holder should not recognize any gain or loss on the redemption of Warrants for shares of our Common Stock. A U.S. Holder’s aggregate initial tax basis in the shares of Common Stock received in the redemption should equal such U.S. Holder’s aggregate adjusted tax basis in the Warrants redeemed and the holding period for the shares of Common Stock received in redemption of the Warrants should include the holding period for the surrendered Warrants. However, there is some uncertainty regarding this tax treatment and, accordingly, U.S. Holders should consult their tax advisors regarding the tax consequences of a redemption of Warrants for Common Stock.</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through a decrease to the exercise price) as a result of a distribution of cash to the holders of shares of our Common Stock which is taxable to such holders as a distribution. Such constructive distribution would be subject to tax as described above under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in the same manner as if such U.S. Holder received a cash distribution from us on Common Stock equal to the fair market value of such increased interest.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Common Stock and Warrants unless the U.S. Holder is an exempt recipient and, if required, demonstrates such status. Backup withholding may apply to such payments if the U.S. Holder fails to provide a taxpayer identification number, a certification of exempt status or has been notified by the IRS that it is subject to backup withholding (and such notification has not been withdrawn). Any amounts withheld under the backup withholding rules generally should be allowed as a refund or a credit against a U.S. Holder’s U.S. federal income tax liability provided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Common Stock, to the extent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paid out of our current or accumulated earnings and profits (as determined under U.S. federal income tax principles), will constitute dividends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under the same rules as described above under “</w:t>
      </w:r>
      <w:r>
        <w:rPr>
          <w:rFonts w:ascii="Times New Roman" w:cs="Times New Roman" w:eastAsia="Times New Roman" w:hAnsi="Times New Roman"/>
          <w:sz w:val="18"/>
          <w:szCs w:val="18"/>
          <w:i w:val="1"/>
          <w:iCs w:val="1"/>
          <w:color w:val="auto"/>
        </w:rPr>
        <w:t>U.S. Holders — Taxation of Distributions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U.S. Holders — Gain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or Loss on Sale, Taxable Exchange or Other Taxable Disposition of Common Stock</w:t>
      </w:r>
      <w:r>
        <w:rPr>
          <w:rFonts w:ascii="Times New Roman" w:cs="Times New Roman" w:eastAsia="Times New Roman" w:hAnsi="Times New Roman"/>
          <w:sz w:val="17"/>
          <w:szCs w:val="17"/>
          <w:color w:val="auto"/>
        </w:rPr>
        <w:t>” and, provided such dividends are not effectively connected with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Non-U.S. Holder’s conduct of a trade or business within the United States, we will be required to withhold tax from the gross amount of the dividend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rate of 30%, unless such Non-U.S. Holder is eligible for a reduced rate of withholding tax under an applicable income tax treaty and provides proper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certification of its eligibility for such reduced rate (usually on an IRS Form W-8BEN or </w:t>
      </w:r>
      <w:r>
        <w:rPr>
          <w:rFonts w:ascii="Times New Roman" w:cs="Times New Roman" w:eastAsia="Times New Roman" w:hAnsi="Times New Roman"/>
          <w:sz w:val="18"/>
          <w:szCs w:val="18"/>
          <w:i w:val="1"/>
          <w:iCs w:val="1"/>
          <w:color w:val="auto"/>
        </w:rPr>
        <w:t>W-8BEN-E, as applicable). Special certification and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requirements apply to certain Non-U.S. Holders that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are pass-through entities rather than corporations or individuals. In the case of any constructive dividend (as described below under “</w:t>
      </w:r>
      <w:r>
        <w:rPr>
          <w:rFonts w:ascii="Times New Roman" w:cs="Times New Roman" w:eastAsia="Times New Roman" w:hAnsi="Times New Roman"/>
          <w:sz w:val="18"/>
          <w:szCs w:val="18"/>
          <w:i w:val="1"/>
          <w:iCs w:val="1"/>
          <w:color w:val="auto"/>
        </w:rPr>
        <w:t>Non-U.S. Holders</w:t>
      </w:r>
    </w:p>
    <w:p>
      <w:pPr>
        <w:spacing w:after="0" w:line="29"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i w:val="1"/>
          <w:iCs w:val="1"/>
          <w:color w:val="auto"/>
        </w:rPr>
        <w:t>— Possible Constructive Distributions</w:t>
      </w:r>
      <w:r>
        <w:rPr>
          <w:rFonts w:ascii="Times New Roman" w:cs="Times New Roman" w:eastAsia="Times New Roman" w:hAnsi="Times New Roman"/>
          <w:sz w:val="18"/>
          <w:szCs w:val="18"/>
          <w:color w:val="auto"/>
        </w:rPr>
        <w:t>”), it is possible that this tax would be withheld from any amount owed to a Non-U.S. Holder by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 and Warrants</w:t>
      </w:r>
      <w:r>
        <w:rPr>
          <w:rFonts w:ascii="Times New Roman" w:cs="Times New Roman" w:eastAsia="Times New Roman" w:hAnsi="Times New Roman"/>
          <w:sz w:val="18"/>
          <w:szCs w:val="18"/>
          <w:color w:val="auto"/>
        </w:rPr>
        <w:t>” below. In addition, if we determine that we are likely to be classified as a “United States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holding corporation” (subject to the third bullet below in “</w:t>
      </w:r>
      <w:r>
        <w:rPr>
          <w:rFonts w:ascii="Times New Roman" w:cs="Times New Roman" w:eastAsia="Times New Roman" w:hAnsi="Times New Roman"/>
          <w:sz w:val="18"/>
          <w:szCs w:val="18"/>
          <w:i w:val="1"/>
          <w:iCs w:val="1"/>
          <w:color w:val="auto"/>
        </w:rPr>
        <w:t>Non-U.S. Holders — Gain or Loss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and Warrants</w:t>
      </w:r>
      <w:r>
        <w:rPr>
          <w:rFonts w:ascii="Times New Roman" w:cs="Times New Roman" w:eastAsia="Times New Roman" w:hAnsi="Times New Roman"/>
          <w:sz w:val="18"/>
          <w:szCs w:val="18"/>
          <w:color w:val="auto"/>
        </w:rPr>
        <w:t>” below), we will withhold 15% of any distribution that exceeds our current and accumulated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w:t>
      </w:r>
    </w:p>
    <w:p>
      <w:pPr>
        <w:spacing w:after="0" w:line="19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(provided a timely tax return is properly filed by such Non-U.S. Holder),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w:t>
      </w:r>
      <w:r>
        <w:rPr>
          <w:rFonts w:ascii="Times New Roman" w:cs="Times New Roman" w:eastAsia="Times New Roman" w:hAnsi="Times New Roman"/>
          <w:sz w:val="18"/>
          <w:szCs w:val="18"/>
          <w:i w:val="1"/>
          <w:iCs w:val="1"/>
          <w:color w:val="auto"/>
        </w:rPr>
        <w:t>U.S. Holders — Exercise of a Warrant</w:t>
      </w:r>
      <w:r>
        <w:rPr>
          <w:rFonts w:ascii="Times New Roman" w:cs="Times New Roman" w:eastAsia="Times New Roman" w:hAnsi="Times New Roman"/>
          <w:sz w:val="18"/>
          <w:szCs w:val="18"/>
          <w:color w:val="auto"/>
        </w:rPr>
        <w:t>”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8"/>
          <w:szCs w:val="18"/>
          <w:i w:val="1"/>
          <w:iCs w:val="1"/>
          <w:color w:val="auto"/>
        </w:rPr>
        <w:t>Non-U.S. Holders — Gain on Sale, Exchange or Other Taxable Disposition of Common Stock and Warrants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 and Warrants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or an expiration or redemption of our Warrants, unless:</w:t>
      </w:r>
    </w:p>
    <w:p>
      <w:pPr>
        <w:spacing w:after="0" w:line="67" w:lineRule="exact"/>
        <w:rPr>
          <w:sz w:val="20"/>
          <w:szCs w:val="20"/>
          <w:color w:val="auto"/>
        </w:rPr>
      </w:pPr>
    </w:p>
    <w:p>
      <w:pPr>
        <w:ind w:left="1080" w:right="4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These rules may be modified as applied to the Warrants. There can be no assurance that our Common Stock will be treated as regularly traded on an established securities market for this purpose.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(provided that any deductions will only be available if a timely tax return is properly filed by such Non-U.S. Holder).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3" w:lineRule="exact"/>
        <w:rPr>
          <w:sz w:val="20"/>
          <w:szCs w:val="20"/>
          <w:color w:val="auto"/>
        </w:rPr>
      </w:pPr>
    </w:p>
    <w:p>
      <w:pPr>
        <w:jc w:val="both"/>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Common Stock or Warrants will be subject to tax at generally applicable U.S. federal income tax rates. In addition, a buyer of our Common Stock or Warrants from such holder may (to the extent the publicly traded exemption to such withholding does not apply) be required to withhold U.S. income tax at a rate of 15% of the amount realized upon such disposition. Non-U.S. Holders are urged to consult their tax advisors regarding the application of these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Common Stock for which the Warrant may be exercised or to the exercise price of the Warrant in certain events, as discussed in the section of this prospectus 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An adjustment which has the effect of preventing dilution generally should not be a taxable event. Nevertheless, a Non-U.S. Holder of Warrants would be treated as receiving a constructive distribution from us as described above in “</w:t>
      </w:r>
      <w:r>
        <w:rPr>
          <w:rFonts w:ascii="Times New Roman" w:cs="Times New Roman" w:eastAsia="Times New Roman" w:hAnsi="Times New Roman"/>
          <w:sz w:val="18"/>
          <w:szCs w:val="18"/>
          <w:i w:val="1"/>
          <w:iCs w:val="1"/>
          <w:color w:val="auto"/>
        </w:rPr>
        <w:t>U.S. Holders – Possible Constructive Distributions</w:t>
      </w:r>
      <w:r>
        <w:rPr>
          <w:rFonts w:ascii="Times New Roman" w:cs="Times New Roman" w:eastAsia="Times New Roman" w:hAnsi="Times New Roman"/>
          <w:sz w:val="18"/>
          <w:szCs w:val="18"/>
          <w:color w:val="auto"/>
        </w:rPr>
        <w:t>”. A Non-U.S. Holder would be subject to U.S. federal income tax withholding as described above under “</w:t>
      </w:r>
      <w:r>
        <w:rPr>
          <w:rFonts w:ascii="Times New Roman" w:cs="Times New Roman" w:eastAsia="Times New Roman" w:hAnsi="Times New Roman"/>
          <w:sz w:val="18"/>
          <w:szCs w:val="18"/>
          <w:i w:val="1"/>
          <w:iCs w:val="1"/>
          <w:color w:val="auto"/>
        </w:rPr>
        <w:t>Non-U.S. Holders — Taxation of Distributions</w:t>
      </w:r>
      <w:r>
        <w:rPr>
          <w:rFonts w:ascii="Times New Roman" w:cs="Times New Roman" w:eastAsia="Times New Roman" w:hAnsi="Times New Roman"/>
          <w:sz w:val="18"/>
          <w:szCs w:val="18"/>
          <w:color w:val="auto"/>
        </w:rPr>
        <w:t>” under that section in the same manner as if such Non-U.S. Holder received a cash distribution from us on Common Stock equal to the fair market value of such increased interest without any corresponding receipt of cash. Any resulting withholding tax may be withheld from future cash distributions.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Under Sections 1471 to 1474 of the Code and the Treasury Regulations and administrative guidance promulgated thereunder (commonly referred to as the “Foreign Account Tax Compliance Act” or “FATCA”) a 30% withholding tax generally applies with respect to certain dividends in respect of and, subject to the proposed Treasury Regulations described below, gross proceeds from a sale or disposition of, securities which are held by or through certain foreign financial institution (including investment funds), unless any such institution (a) enters into, and complies with, an agreement with the IRS to report, on an annual basis, information with respect to interests in, and accounts maintained by, the institution that are owned by certain</w:t>
      </w:r>
    </w:p>
    <w:p>
      <w:pPr>
        <w:spacing w:after="0" w:line="3"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U.S. persons and by certain non-U.S. entities that are wholly or partially owned by U.S. persons and to withhold on certain payments, or (b)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the applicable foreign country may modify these requirements. Accordingly, the entity through which our securities are held will affect the determination of whether such withholding is required. Similarly, dividends in respect of, and (subject to the proposed Treasury Regulations discussed below) gross proceeds from the sale or other disposition of,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spacing w:after="0" w:line="19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While withholding under FATCA generally would also apply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payments of gross proceeds from the sale or other disposition of securities (including Common Stock and Warrants),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our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shares of Common Stock and Warrants. Copies of the information returns reporting such distributions and any withholding may also be made available to the tax authorities in the country in which the Non-U.S. Holder resides under the provisions of an applicable income tax treaty. A Non-U.S. Holder may have to comply with certification procedures to establish that it is not a United States person in order to avoid information reporting and backup withholding requirements. The certification procedures (including on an applicable IRS Form W-8) required to claim a reduced rate of withholding under a treaty will satisfy the certification requirements necessary to avoid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8" w:lineRule="exact"/>
        <w:rPr>
          <w:sz w:val="20"/>
          <w:szCs w:val="20"/>
          <w:color w:val="auto"/>
        </w:rPr>
      </w:pPr>
    </w:p>
    <w:p>
      <w:pPr>
        <w:ind w:left="120" w:right="62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THE DISCUSSION ABOVE IS A GENERAL SUMMARY. IT DOES NOT COVER ALL TAX MATTERS THAT MAY BE IMPORTANT TO YOU. EACH PROSPECTIVE PURCHASER SHOULD CONSULT ITS TAX ADVISOR ABOUT THE TAX CONSEQUENCES OF AN INVESTMENT IN OUR COMMON STOCK AND WARRANTS BASED ON YOUR CIRCUMSTANCES.</w:t>
      </w:r>
    </w:p>
    <w:p>
      <w:pPr>
        <w:spacing w:after="0" w:line="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9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Semnur’s financial condition and results of operations should be read in conjunction with the consolidated financial statements and related notes thereto included elsewhere in this prospectus.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prospectus, including those set forth in the sections of this prospectus titled “Risk Factors” and “Cautionary Note Regarding Forward-Looking Statements” in this prospectus.</w:t>
      </w:r>
    </w:p>
    <w:p>
      <w:pPr>
        <w:spacing w:after="0" w:line="290"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the “Company” and other similar terms refer to Semnur Pharmaceuticals, Inc.</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if approved, has the potential to become the first FDA-approved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w:t>
      </w:r>
    </w:p>
    <w:p>
      <w:pPr>
        <w:spacing w:after="0" w:line="183"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are developing SP-102 to be an injectable viscous gel formulation of a widely used corticosteroid designed to address the serious risks posed by off-label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w:t>
      </w:r>
    </w:p>
    <w:p>
      <w:pPr>
        <w:spacing w:after="0" w:line="16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Legacy Semnur was founded in 2013 and we have invested substantial efforts and financial resources on building our intellectual property portfolio and infrastructure. We have conducted PL and toxicology studies, including a Phase 1 pharmacokinetic (“PK”) bridging study, Phase 2 repeat dose study, a pivotal Phase 3 study and the second Phase 3 study initiated in September 2025. We expect to continue to make investments in research and development, clinical trials and regulatory affairs to develop our product candidate, SP-102.</w:t>
      </w:r>
    </w:p>
    <w:p>
      <w:pPr>
        <w:spacing w:after="0" w:line="180" w:lineRule="exact"/>
        <w:rPr>
          <w:sz w:val="20"/>
          <w:szCs w:val="20"/>
          <w:color w:val="auto"/>
        </w:rPr>
      </w:pPr>
    </w:p>
    <w:p>
      <w:pPr>
        <w:ind w:left="120" w:right="220" w:firstLine="440"/>
        <w:spacing w:after="0" w:line="264" w:lineRule="auto"/>
        <w:rPr>
          <w:sz w:val="20"/>
          <w:szCs w:val="20"/>
          <w:color w:val="auto"/>
        </w:rPr>
      </w:pPr>
      <w:r>
        <w:rPr>
          <w:rFonts w:ascii="Times New Roman" w:cs="Times New Roman" w:eastAsia="Times New Roman" w:hAnsi="Times New Roman"/>
          <w:sz w:val="18"/>
          <w:szCs w:val="18"/>
          <w:color w:val="auto"/>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Journal in June 2024, which is the leading journal devoted to pain medicine and</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FDCA for our product candidate.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incurred significant net losses to date. Our ability to generate product revenue sufficient to achieve profitability will depend on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successful development and eventual commercialization of our current or future product candidates. As of December 31, 2025, we had cash and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equivalents of $20 thousand and accumulated deficit of $275.8 million. During the year ended December 31, 2025, we had operating losses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$160.4 million and used $5.9 million of cash in operations. These losses have resulted primarily from costs incurred in connection with research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development activities, certain allocated general and administrative costs associated with our operations and certain costs associated with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Combination. We expect to continue to incur significant expenses and increasing operating losses for the foreseeable future, and our net losses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fluctuate significantly from period to period, depending on the timing of and expenditures on our planned research and development activities. Further,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consolidated financial statements are dependent on assumptions and allocations from the Scilex Holding Company (“Scilex”)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that management deems were reasonable and appropriate under the circumstances. Nevertheless, the Company’s consolidated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may not include all of the actual expenses that would have been incurred had the Company operated as a standalone company during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periods presented and may not reflect the results of operations, financial position and cash flows had the Company operated as a standalone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periods presented. Actual costs that would have been incurred if the Company had operated as a standalone company would depend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multiple factors, including organizational structure and strategic decisions made in various areas, including information technology and infrastructure.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Company also may have incurred additional costs associated with being a standalone, publicly listed company that were not included in the expense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allocations and, therefore, would result in additional costs that are not reflected in its historical results of operations, financial position and cash flows.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References to “Legacy Semnur” refer to the private Delaware corporation that is now our wholly owned subsidiary and named Semnur, Inc. (formerly known as “Semnur Pharmaceuticals, Inc.”). Unless otherwise noted or the context requires otherwise, references to “Common Stock” refer to our common stock, par value $0.0001 per share.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September 22, 2025 (the “Closing”),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Capital Acquisition Corp. (“Denali”), Denali Merger Sub Inc., a Delaware corporation and wholly owned subsidiary of Denali (“Merger Sub”), and Legacy Semnur. Pursuant to the terms of the Merger Agreement, the business combination (herein referred to as the “Business Combination”)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Comparability of Our Results and Our Relationship with Scilex</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Since 2019, we have operated as a majority owned subsidiary of Scilex. As a result, our historical financial statements may not be reflective of what our results of operations would have been had we been a standalone public company and no longer a majority owned subsidiary of Scilex. In particular, certain clinical trial management, regulatory, information technology, legal, accounting and finance, facilities and other corporate and infrastructural functions have historically been provided to us by Scilex. We expect that Scilex will continue to provide us with some of the services related to these functions on a transitional basis in exchange for agreed-upon fees pursuant to the Transition Services Agreement (the “Transition Services Agreement”) with Scilex. The costs associated with these services and support were allocated to our operating expenses based on the estimated percentage of time certain Scilex employees spent supporting the SP-102 program, and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enterprise resource planning system, while our systems are currently being fully supported by Scilex.</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consist primarily of direct and allocated costs incurred for our research activities, including the development of our product candidate, and include:</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related to clinical trials, including contract manufacturing and supply;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portion of salaries, benefits and other related costs, including stock-based compensation expense for Scilex personnel engaged in research and development functions related to the SP-102 program;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costs of facilities and support services incurred by Scilex used in drug development related to the SP-102 program;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allocated costs related to outside consultants engaged in research and development functions related to the SP-102 program.</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will incur incremental expenses associated with our lead product candidate, SP-102,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SP-102.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allocated costs related to salaries and other related costs, including stock-based compensation, for personnel in Scilex’s executive, marketing, finance, corporate and business development and administrative functions. General and administrative expenses also include allocated professional fees for legal, patent, accounting, auditing, tax and consulting services and expenses related to the Business Combination.</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vary year over year in the future as we adapt our strategies to changes in the business environment. We also expect to incur increased expenses as a result of operating as a public company, including expenses related to compliance with the rules and regulations of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SEC, listing standards applicable to companies listed on a national securities exchange, additional insurance expenses, investor relations activities and other administrative and professional services. We also expect to allocate additional expenses relating to administrative, finance legal, and other corporate functions to adapt to the changes above and the anticipated growth of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5"/>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$ 1,709</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(160,416)</w:t>
            </w:r>
          </w:p>
        </w:tc>
        <w:tc>
          <w:tcPr>
            <w:tcW w:w="112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(4,690)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(155,726)</w:t>
            </w:r>
          </w:p>
        </w:tc>
        <w:tc>
          <w:tcPr>
            <w:tcW w:w="0" w:type="dxa"/>
            <w:vAlign w:val="bottom"/>
          </w:tcPr>
          <w:p>
            <w:pPr>
              <w:spacing w:after="0"/>
              <w:rPr>
                <w:sz w:val="1"/>
                <w:szCs w:val="1"/>
                <w:color w:val="auto"/>
              </w:rPr>
            </w:pPr>
          </w:p>
        </w:tc>
      </w:tr>
      <w:tr>
        <w:trPr>
          <w:trHeight w:val="237"/>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(160,416</w:t>
            </w:r>
          </w:p>
        </w:tc>
        <w:tc>
          <w:tcPr>
            <w:tcW w:w="26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(4,690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(155,726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presented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SP-102:</w:t>
            </w: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Contracted R&amp;D</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2,546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1,709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$ 837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Total research and development expenses for the year ended December 31, 2025 and 2024 were $2.5 million and $1.7 million, respectively. The increase of $0.8 million was primarily related to increased personnel costs due to an increase in headcount and allocation of expenses from Scilex and an increase in contracted R&amp;D due to increased clinical development activities related to development of SP-102.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300" w:firstLine="440"/>
        <w:spacing w:after="0" w:line="281" w:lineRule="auto"/>
        <w:rPr>
          <w:sz w:val="20"/>
          <w:szCs w:val="20"/>
          <w:color w:val="auto"/>
        </w:rPr>
      </w:pPr>
      <w:r>
        <w:rPr>
          <w:rFonts w:ascii="Times New Roman" w:cs="Times New Roman" w:eastAsia="Times New Roman" w:hAnsi="Times New Roman"/>
          <w:sz w:val="17"/>
          <w:szCs w:val="17"/>
          <w:color w:val="auto"/>
        </w:rPr>
        <w:t>Total general and administrative expenses for the year ended December 31, 2025 and 2024 were $157.9 million and $3.0 million, respectively. The increase of $154.9 million was primarily related to $140.0 million of consulting expense related to consultant shares issued at Closing and $9.9 million of deferred offering costs written off at Closing. Additionally, there was an increase in personnel-related costs due to an increase in headcount and allocation of expenses from Scilex and an increase in consulting expenses due to services required to manage a public company.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$20 thousand and accumulated deficit of $275.8 million. During the year ended December 31, 2025, we had operating losses of $160.4 million and used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$5.9 million of cash in operations. We are dependent upon Scilex and its affiliates to provide services and funding to support our operations until, at least, such time as external financing is obtained. We expect to incur significant expenses and operating losses for the foreseeable future as we continue our efforts to develop and seek regulatory approval for SP-102.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Liquidity Needs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planned operating expenses will be approximately $21.0 million during the next twelve months, which includes the cost of clinical work of approximately $10.0 million. We do not anticipate significant increases in our costs of clinical work during this period.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expect our primary sources of liquidity to include our existing cash on hand and continued support from Scilex pursuant to the Transition Services Agreement and we are currently exploring various financing alternatives, including new credit facilities, non-dilutive financing options, such as collaborations with international partners to out-license SP-102, debt financings and royalty financings, and equity financing options, such as standby equity purchase arrangements or private placements.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PIPE SPA and the Semnur/Biconomy SPA, we may receive financing of $20.0 million and $100.0 million, respectively.</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Transition Services Agreement with Scilex, we expect to receive approximately $2.0 million of continued support from Scilex, inclusive of fees, in the next twelve months. The continued support from Scilex consists of (a) clinical support to run the planned Phase 3 trial for approximately $0.8 million, (b) CMC manufacturing support for approximately $0.7 million, (c) general and administrative support, such as human resources, legal and accounting, for approximately $0.4 million and (d) IT support for approximately $0.1 million.</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spacing w:after="0" w:line="8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conducting studies and clinical trials for our product candidate, SP-102;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we are required to make pursuant to any current or future collaboration or license agreements;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 if approved for commercialization, is adopted by the physician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and product candidates and other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products or product candidates we develop and commercialize;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Should the clinical programs of our product candidate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offerings, debt financings, collaborations, government contracts or other capital sources, including potential collaborations with other companies or other strategic transactions.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it could result in dilution to our existing stockholder or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delay, scale back or discontinue the development of our product candidate.</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are dependent upon Scilex and its affiliates to provide services and funding to support our operations until, at least, such time as external financing is obtained. We may also need to take certain other actions to allow us to maintain our projected cash and projected financial position including but not limited to, additional reductions in general and administrative costs, suspension or winding down of clinical development programs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incur net losses into the foreseeable future as we support our clinical development to expand approved indications, continue our development of, and seek regulatory approvals for, our product candidate, and expand our corporate infrastructure. As a result, we have concluded that there is substantial doubt about our ability to continue as a going concern within one year after the date that the consolidated financial statements are issued. See Note 1 “</w:t>
      </w:r>
      <w:r>
        <w:rPr>
          <w:rFonts w:ascii="Times New Roman" w:cs="Times New Roman" w:eastAsia="Times New Roman" w:hAnsi="Times New Roman"/>
          <w:sz w:val="18"/>
          <w:szCs w:val="18"/>
          <w:i w:val="1"/>
          <w:iCs w:val="1"/>
          <w:color w:val="auto"/>
        </w:rPr>
        <w:t>Nature of Operations — Liquidity and Going Concern</w:t>
      </w:r>
      <w:r>
        <w:rPr>
          <w:rFonts w:ascii="Times New Roman" w:cs="Times New Roman" w:eastAsia="Times New Roman" w:hAnsi="Times New Roman"/>
          <w:sz w:val="18"/>
          <w:szCs w:val="18"/>
          <w:color w:val="auto"/>
        </w:rPr>
        <w:t>” of the notes to our consolidated financial statements included elsewhere in this prospectus for additional information. Our existing cash and cash equivalents may be insufficient to enable us to fund our operating expenses and capital expenditure requirements for at least the next 12 months. If these sources are insufficient to satisfy our liquidity requirements, we may seek to raise additional funds through equity offerings, debt financings, collaborations, government contracts or other strategic transactions.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we have promissory notes totaling $3.5 million, all of which are due in less than a year.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we have a long-term related party loan totaling $11.9 million due to Scilex.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 other than as discussed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Subsidiary Guarantee to Scilex-Oramed Note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in the principal amount of $101.9 million (the “Scilex-Oramed Note”). In connection with the Scilex-Oramed SPA, Scilex and each of its subsidiaries, including us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As of the consummation of the Business Combination, we are no longer a Guarantor under the Subsidiary Guarantee.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w w:val="79"/>
              </w:rPr>
              <w:t>$</w:t>
            </w:r>
          </w:p>
        </w:tc>
        <w:tc>
          <w:tcPr>
            <w:tcW w:w="5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(5,867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2"/>
              </w:rPr>
              <w:t>(4,891</w:t>
            </w:r>
          </w:p>
        </w:tc>
        <w:tc>
          <w:tcPr>
            <w:tcW w:w="260" w:type="dxa"/>
            <w:vAlign w:val="bottom"/>
            <w:tcBorders>
              <w:top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u w:val="single" w:color="auto"/>
                <w:color w:val="auto"/>
                <w:w w:val="79"/>
              </w:rPr>
              <w:t>$</w:t>
            </w:r>
          </w:p>
        </w:tc>
        <w:tc>
          <w:tcPr>
            <w:tcW w:w="3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2"/>
              </w:rPr>
              <w:t>(976</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6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by $1.0 million during the year ended December 31, 2025 compared to year ended December 31, 2024. The increase is primarily related to higher expenses primarily due to an increase in headcount, an increase in clinical development activities and an increased in general costs associated with managing a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net cash provided by financing activities of $5.9 million and $4.9 million, respectively, was primarily due to proceeds from the the related party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consolidated financial statements to this prospectus. As disclosed in Note 2, the preparation of consolidated financial statements in conformity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generally accepted accounting principles requires management to make estimates and assumptions about future events that affect the amounts reported in the consolidated financial statements and accompanying notes. Actual results could differ significantly from those estimates. We do not have any critical accounting estimates as of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120" w:right="680" w:firstLine="440"/>
        <w:spacing w:after="0" w:line="284" w:lineRule="auto"/>
        <w:rPr>
          <w:sz w:val="20"/>
          <w:szCs w:val="20"/>
          <w:color w:val="auto"/>
        </w:rPr>
      </w:pPr>
      <w:r>
        <w:rPr>
          <w:rFonts w:ascii="Times New Roman" w:cs="Times New Roman" w:eastAsia="Times New Roman" w:hAnsi="Times New Roman"/>
          <w:sz w:val="18"/>
          <w:szCs w:val="18"/>
          <w:color w:val="auto"/>
        </w:rPr>
        <w:t>There have been no changes to our discussion of recent accounting pronouncements as described in Note 3 titled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the notes to our annual financial statements included elsewhere in this 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otherwise required under Item 305 of Regulation 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 other than as discussed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description of our related party transactions, see the section titled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 “emerging growth company” as defined in Section 2(a) of the Securities Act, as modified by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GAAP or their interpretation, the adoption of new guidance or the application of existing guidance to changes in Semnur’s business could significantly affect our business, financial condition and results of operations.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spacing w:after="0" w:line="85" w:lineRule="exact"/>
        <w:rPr>
          <w:sz w:val="20"/>
          <w:szCs w:val="20"/>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 to obtain an attestation and report from our auditors on the assessment of our internal control over financial reporting pursuant to the Sarbanes-Oxley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new requirements adopted by the Public Company Accounting Oversight Board requiring mandatory audit firm rotation;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Semnur qualifies and will remain as an emerging growth company until the earlier of (i) the last day of the fiscal year (a) following the fifth anniversary of the closing of the initial public offering, (b) in which Semnur has a total annual gross revenue of at least $1.235 billion, or (c) in which Semnur is deemed to be a large accelerated filer, which means the market value of the common equity of Semnur that is held by non-affiliates equals or exceeds $700 million as of the last business day of its most recently completed second fiscal quarter; and (ii) the date on which Semnur has issued more than $1.00 billion in non-convertible debt securities during the prior three-year period. References herein to “emerging growth company” have the meaning associated with it in the JOBS Act.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left="120" w:right="280" w:firstLine="440"/>
        <w:spacing w:after="0" w:line="276" w:lineRule="auto"/>
        <w:rPr>
          <w:sz w:val="20"/>
          <w:szCs w:val="20"/>
          <w:color w:val="auto"/>
        </w:rPr>
      </w:pPr>
      <w:r>
        <w:rPr>
          <w:rFonts w:ascii="Times New Roman" w:cs="Times New Roman" w:eastAsia="Times New Roman" w:hAnsi="Times New Roman"/>
          <w:sz w:val="17"/>
          <w:szCs w:val="17"/>
          <w:color w:val="auto"/>
        </w:rPr>
        <w:t>Smaller reporting companies may take advantage of certain reduced disclosure obligations, including, among other things, providing only two years of audited financial statements. Semnur qualifies and will remain a smaller reporting company until the last day of the fiscal year in which</w:t>
      </w:r>
    </w:p>
    <w:p>
      <w:pPr>
        <w:spacing w:after="0" w:line="1" w:lineRule="exact"/>
        <w:rPr>
          <w:sz w:val="20"/>
          <w:szCs w:val="20"/>
          <w:color w:val="auto"/>
        </w:rPr>
      </w:pPr>
    </w:p>
    <w:p>
      <w:pPr>
        <w:jc w:val="both"/>
        <w:ind w:left="120" w:right="380" w:hanging="4"/>
        <w:spacing w:after="0" w:line="255"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Semnur has annual revenue of at least $100 million and a public float that equals or exceeds $700 million as of the last business day of its most recently completed second fiscal quarter or (ii) Semnur has a public float that equals or exceeds $250 million as of the last business day of its most recently completed second fiscal quarter.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60"/>
          </w:cols>
          <w:pgMar w:left="320" w:top="455" w:right="5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(10 mg, dexamethasone sodium phosphate viscous gel), if approved, has the potential to become the first FDA-approved non-opioid novel injectable corticosteroid gel formulation for patients with moderate to severe LRP (also known as sciatica), containing no preservatives, surfactants, solvents, or particulates and is expected to be available in a pre-filled syringe formulation following approval by the FDA.</w:t>
      </w:r>
    </w:p>
    <w:p>
      <w:pPr>
        <w:spacing w:after="0" w:line="17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Semnur was founded in 2013 and we have invested substantial efforts and financial resources on building our intellectual property portfolio and infrastructure. We have conducted PK and toxicology studies, including a Phase 1 PK bridging study, Phase 2 repeat dose study, and a pivotal Phase 3 study. We were acquired by Scilex on March 18, 2019, pursuant to, and in connection with the transactions contemplated by, an Agreement and Plan of Merger between Scilex, us, Sigma Merger Sub, Inc., Scilex’s then wholly owned subsidiary (“Sigma Merger Sub”), Fortis Advisors LLC, solely as representative of the holders of our equity (the “Semnur Equityholders’ Representative”), and Sorrento Therapeutics, Inc. (“Sorrento”), for limited purposes (as amended, the “Semnur Merger Agreement”). We expect to continue to make investments in research and development, clinical trials and regulatory affairs to develop our product candidate, SP-102.</w:t>
      </w:r>
    </w:p>
    <w:p>
      <w:pPr>
        <w:spacing w:after="0" w:line="18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We are developing SP-102 to be an injectable viscous gel formulation of a widely used corticosteroid designed to address the serious risks posed by off-label ESI, which are administered over 12 million times annually in the United States. SP-102 has been granted fast track designation by the FDA and, if approved, could become the only FDA-approved ESI for the treatment of sciatica. Although such designation has been granted, it may not lead to a faster development or regulatory review process and such designation does not increase the likelihood that SP-102 will receive marketing approval.</w:t>
      </w:r>
    </w:p>
    <w:p>
      <w:pPr>
        <w:spacing w:after="0" w:line="164"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The primary endpoint of change in average daily Numeric Pain Rating Scale (“NPRS”) pain in the affected leg over four weeks demonstrated meaningful and statistically significant result over placebo, least square (LS) mean treatment difference (standard error [SE]) of -0.52 (0.163) units [95% confidence interval [CI]: -0.84, -0.20] compared to placebo (P=0.002). Most of the secondary endpoints at four weeks also demonstrated statistically significant results, supporting the primary outcome. For the key secondary endpoint of mean change in Oswestry Disability Index (“ODI”) from</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baseline, the LS mean treatment difference (SE) for SP-102 was -3.38 (1.388) units [95% CI: -6.11, -0.65] compared to placebo (P=0.015). SP-102 treatment resulted in a -8.88 point reduction from baseline, which exceeds the established minimal clinically important difference of -8.</w:t>
      </w:r>
    </w:p>
    <w:p>
      <w:pPr>
        <w:spacing w:after="0" w:line="16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Based on the results of this study,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 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Based on such guidance, we designed an open-label multi-center safety and efficacy trial, which we had expected to commence in the first half of 2024 and in which we would seek to enroll approximately 700 patients with moderate-to-severe LRP requiring an epidural steroid injection. In that trial, we expected to administer SP-102 in up to three injections during a six-month observation period. In February 2024, we had a Type D meeting with the FDA to preview the design of such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Based on this feedback, we have instead designed a Phase 3 CLEAR-2 trial, which is expected to be a randomized, active comparator and placebo-controlled, multi-center, safety and efficacy study of SP-102 in subjects with moderate to severe LRP enrolling approximately 700 patients to receive an open-label initial injection, and randomizing approximately 200 subjects to the second phase of repeat injection. The primary and key secondary endpoints of the CLEAR-2 trial are consistent with those used in the CLEAR-1 trial, including (i) average daily NPRS pain in the affected leg over four weeks following the initial injection of SP-102 and (ii) Oswestry Disability Index at four weeks following injection of SP-102 or placebo. We have also optimized certain secondary endpoints to capture additional potential clinical benefits of SP-102. We initiated our second Phase 3 in September 2025 and given our experience from conducting the Phase 3 CLEAR-1 study, we expect to be able to complete the trial by 2027 and submit our 505(b)(2) NDA to the FDA for approval. If approved, and given SP-102’s fast-track designation, this would position us to achieve our targeted commercial launch of SP-102 in 2028. Except as described above, as of the date of this prospectus, we have not yet pursued any additional substantive development of SP-102.</w:t>
      </w:r>
    </w:p>
    <w:p>
      <w:pPr>
        <w:spacing w:after="0" w:line="40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FDCA for our product candidate.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vision is to become the leading pain management company delivering novel non-opioid and non-addictive treatments to provide safe, effective and durable relief of multiple pain conditions. To accomplish this, the principal elements of our strategy are the following:</w:t>
      </w:r>
    </w:p>
    <w:p>
      <w:pPr>
        <w:spacing w:after="0" w:line="63" w:lineRule="exact"/>
        <w:rPr>
          <w:sz w:val="20"/>
          <w:szCs w:val="20"/>
          <w:color w:val="auto"/>
        </w:rPr>
      </w:pPr>
    </w:p>
    <w:p>
      <w:pPr>
        <w:ind w:left="1080" w:right="80" w:hanging="424"/>
        <w:spacing w:after="0" w:line="26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SP-102 as a novel epidural injection for the first approved treatment of sciatica. </w:t>
      </w:r>
      <w:r>
        <w:rPr>
          <w:rFonts w:ascii="Times New Roman" w:cs="Times New Roman" w:eastAsia="Times New Roman" w:hAnsi="Times New Roman"/>
          <w:sz w:val="18"/>
          <w:szCs w:val="18"/>
          <w:color w:val="auto"/>
        </w:rPr>
        <w:t>We are developing SP-102 to address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associated with the available corticosteroid epidural injectable products that are used off-label. Many of these products contain potentially neurotoxic preservatives and particulates and are administered over 12 million times annually despite a warning on the label of serious neurologic complications, including loss of vision, stroke, paralysis and death.</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42" w:lineRule="auto"/>
        <w:rPr>
          <w:sz w:val="20"/>
          <w:szCs w:val="20"/>
          <w:color w:val="auto"/>
        </w:rPr>
      </w:pPr>
      <w:r>
        <w:rPr>
          <w:rFonts w:ascii="Times New Roman" w:cs="Times New Roman" w:eastAsia="Times New Roman" w:hAnsi="Times New Roman"/>
          <w:sz w:val="18"/>
          <w:szCs w:val="18"/>
          <w:color w:val="auto"/>
        </w:rPr>
        <w:t>These products carry warnings required by the FDA that the safety and efficacy of epidural administration has not been established. SP-102 has received fast track designation from the FDA and, if approved, could become the first FDA-approved epidural steroid product with long-term patent protection, which we also believe would create significant barriers to entry. Although such designation has been granted, it may not lead to a faster development or regulatory review process and such designation does not increase the likelihood that SP-102 will receive marketing approval. Due to the novelty of our formulation as well as the associated patents and trade secrets, future potential competitors could be required to conduct extensive preclinical studies and costly comparative clinical trials. A full six-month data analysis was completed in February 2022 and we have completed a pivotal Phase 3 study with final results received in March 2022, which results reflect achievement of primary and secondary endpoints. We have extensive clinical and preclinical data (including those obtained from multiple Phase 2 clinical trials) with the novel viscous gel formulation of SP-102. The Phase 3 study results were published in PAIN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Journal in June 2024 and we also presented the pivotal Phase 3 trial results at the American Society of Interventional Pain Physicians annual meeting in Las Vegas, Nevada in May 2022.</w:t>
      </w:r>
    </w:p>
    <w:p>
      <w:pPr>
        <w:spacing w:after="0" w:line="105" w:lineRule="exact"/>
        <w:rPr>
          <w:sz w:val="20"/>
          <w:szCs w:val="20"/>
          <w:color w:val="auto"/>
        </w:rPr>
      </w:pPr>
    </w:p>
    <w:p>
      <w:pPr>
        <w:ind w:left="1080" w:right="120" w:hanging="424"/>
        <w:spacing w:after="0" w:line="253"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SP-102 may be the first FDA approved ESI indicated for sciatica. </w:t>
      </w:r>
      <w:r>
        <w:rPr>
          <w:rFonts w:ascii="Times New Roman" w:cs="Times New Roman" w:eastAsia="Times New Roman" w:hAnsi="Times New Roman"/>
          <w:sz w:val="18"/>
          <w:szCs w:val="18"/>
          <w:color w:val="auto"/>
        </w:rPr>
        <w:t>Based on the Phase 3 results, we anticipate being able to show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advantages of SP-102 compared to existing steroid formulations. We anticipate that SP-102 may have longer duration of clinical benefit compared to generic dexamethasone formulation. The currently used off-label dexamethasone formulation does not have proven efficacy. Pain specialists who have used current dexamethasone formulation believe the efficacy lasts for a short period of time. We expect the clinical benefit of SP-102 to last up to approximately 100 days. Clinical benefit lasting approximately 100 days will reduce the number of procedures patients need and save the health care system valuable resources. Other steroid formulations currently used are suspension steroid formulations. Suspension steroids can cause serious safety concerns such as paraplegia, stroke, paralysis and death, as reflected in FDA class label warning. We expect SP-102 to have proven tolerability based on data from our preclinical and clinical trials. Our reimbursement team will file for a separate J code for SP-102. Once a product receives a special J code, customers will be reimbursed for the product. We have experienced account executives who will follow the process to file for the special J code prior to the launch, which we expected to be granted within two to three quarters after launch. We believe this will facilitate faster uptake in revenue for SP-102 following FDA approval.</w:t>
      </w:r>
    </w:p>
    <w:p>
      <w:pPr>
        <w:spacing w:after="0" w:line="95"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Capitalize on the potential market as back pain affects most adults, causes disability for some, and is a common reason for seeking healthcare. </w:t>
      </w:r>
      <w:r>
        <w:rPr>
          <w:rFonts w:ascii="Times New Roman" w:cs="Times New Roman" w:eastAsia="Times New Roman" w:hAnsi="Times New Roman"/>
          <w:sz w:val="18"/>
          <w:szCs w:val="18"/>
          <w:color w:val="auto"/>
        </w:rPr>
        <w:t>In the United States, opioid prescriptions for low back pain have increased, and opioids are now the most commonly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drug class. According to the British Medical Journal 2015, more than half of regular opioid users report back pain. Rates of opioid prescribing in the United States and Canada are two to three times higher than those in most European countries. 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to decrease the use of opioids.</w:t>
      </w:r>
    </w:p>
    <w:p>
      <w:pPr>
        <w:spacing w:after="0" w:line="88"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our product portfolio by developing or acquiring non-opioid assets that leverage our existing research and development infrastructure</w:t>
      </w:r>
      <w:r>
        <w:rPr>
          <w:rFonts w:ascii="Times New Roman" w:cs="Times New Roman" w:eastAsia="Times New Roman" w:hAnsi="Times New Roman"/>
          <w:sz w:val="18"/>
          <w:szCs w:val="18"/>
          <w:color w:val="auto"/>
        </w:rPr>
        <w:t>. We are continuously evaluating opportunities to leverage our research and development experience to develop non-opioid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for pain management indications that are not adequately served with existing treatment options. Plans for expansion of our product portfolio include investing in early and late-stage research programs to develop our pipeline and capabilities by selectively acquiring highly differentiated technologies, investing in technologies to prepare for commercialization, evaluating strategic partnerships to improve patient experience or enable greater patient access, and opportunistically pursuing strategic partnerships and collaborations to maximize the value of our pipeline and platform technologies. We also seek to in-license non-opioid therapeutics that can both complement our existing product portfolio and benefit from our existing research and development infrastructure.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1"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Leverage the robust and integrated commercial infrastructure and dedicated sales force and sales management, marketing, medical affairs, managed care capabilities, manufacturing and general administration functions of our parent company, Scilex, to commercialize our current and future product candidates, if approved. </w:t>
      </w:r>
      <w:r>
        <w:rPr>
          <w:rFonts w:ascii="Times New Roman" w:cs="Times New Roman" w:eastAsia="Times New Roman" w:hAnsi="Times New Roman"/>
          <w:sz w:val="18"/>
          <w:szCs w:val="18"/>
          <w:color w:val="auto"/>
        </w:rPr>
        <w:t>Scilex has successfully launched three commercial non-opioid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pain management products in the past five years by using its in-house sales force and an outsourced sales force, who typically bring strong, proven experience promoting a broad scope of pain management products, as our current and future product candidates are commercialized. Scilex’s three marketed non-opioid pain products have given the Scilex team the opportunity to interact with the key physician audiences for SP-102, while promoting ZTlido</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one of Scilex’s commercial products, and building rapport with the future prescribers as Scilex looks to partner with us for SP-102’s commercial launch. Scilex’s sales representatives leverage their established relationships with pain management healthcare professionals (“HCPs”) to call on over 6,000 target pain specialists, neurologists, and select health care providers, and we believe these same call points that are providing treatment for sciatica could benefit from SP-102, if approved. Scilex launched ZTlido in the fourth quarter of 2018 with an integrated internal commercial organization and we believe that Scilex’s differentiated and focused team, combined with its competitive national accounts strategy and active direct marketing and medical efforts have driven, and will continue to drive, accelerated sales growth for Scilex products and in the future can drive market uptake for our pain product candidates, including SP-102. As of December 31, 2025, we have 12 contractors and consultants, in addition to three full-time employees from Scilex dedicated to our product candidate, SP-102. In connection with the closing of the Business Combination, we entered into a Transition Services Agreement (the “Transition Services Agreement”) with Scilex, pursuant to which we can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full-time employees to strengthen our research and development, general administrative, manufacturing, regulatory and commercial functions. The term of the Transition Services Agreement is three years from the closing of the Business Combination, which we believe is sufficient time for us to develop our commercial infrastructure and other business functions. See the section titled “</w:t>
      </w:r>
      <w:r>
        <w:rPr>
          <w:rFonts w:ascii="Times New Roman" w:cs="Times New Roman" w:eastAsia="Times New Roman" w:hAnsi="Times New Roman"/>
          <w:sz w:val="18"/>
          <w:szCs w:val="18"/>
          <w:i w:val="1"/>
          <w:iCs w:val="1"/>
          <w:color w:val="auto"/>
        </w:rPr>
        <w:t>Risk Factors — Risks Related to Our Relationship with Scile</w:t>
      </w:r>
      <w:r>
        <w:rPr>
          <w:rFonts w:ascii="Times New Roman" w:cs="Times New Roman" w:eastAsia="Times New Roman" w:hAnsi="Times New Roman"/>
          <w:sz w:val="18"/>
          <w:szCs w:val="18"/>
          <w:color w:val="auto"/>
        </w:rPr>
        <w:t>x” elsewhere in this prospectus. Our financial statements for the fiscal years ended December 31, 2025 and 2024 reflect charges for these services on an allocation basis. As a result, our historical financial statements may not be reflective of conditions that would have existed or what our results of operations would have been had we been a stand-alone public company and no longer a majority owned subsidiary of Scilex. Upon completion of the Phase 3 CLEAR-2 trial by 2027, we will commence the preparation work for the mass production of SP-102. Leveraging Scilex’s commercial infrastructure, upon approval by the FDA, we intend to initiate negotiations with national insurance companies, as well as Medicare and Medicaid, to secure inclusion of SP-102 in their programs. In addition, we plan to enter into a distribution agreement with a major third-party logistic provider for warehousing and distribution of SP-102 as it approaches the NDA approval stage. Utilizing Scilex’s experience and support, we have established cross-functional launch teams and developed a detailed launch playbook to guide the efforts towards a successful product launch. For a brief summary of the launch activities and timelines, please refer to the section titled “</w:t>
      </w:r>
      <w:r>
        <w:rPr>
          <w:rFonts w:ascii="Times New Roman" w:cs="Times New Roman" w:eastAsia="Times New Roman" w:hAnsi="Times New Roman"/>
          <w:sz w:val="18"/>
          <w:szCs w:val="18"/>
          <w:i w:val="1"/>
          <w:iCs w:val="1"/>
          <w:color w:val="auto"/>
        </w:rPr>
        <w:t>Business — Sales and Marketing</w:t>
      </w:r>
      <w:r>
        <w:rPr>
          <w:rFonts w:ascii="Times New Roman" w:cs="Times New Roman" w:eastAsia="Times New Roman" w:hAnsi="Times New Roman"/>
          <w:sz w:val="18"/>
          <w:szCs w:val="18"/>
          <w:color w:val="auto"/>
        </w:rPr>
        <w:t>” elsewhere in this prospectus.</w:t>
      </w:r>
    </w:p>
    <w:p>
      <w:pPr>
        <w:spacing w:after="0" w:line="105" w:lineRule="exact"/>
        <w:rPr>
          <w:rFonts w:ascii="Times New Roman" w:cs="Times New Roman" w:eastAsia="Times New Roman" w:hAnsi="Times New Roman"/>
          <w:sz w:val="18"/>
          <w:szCs w:val="18"/>
          <w:color w:val="auto"/>
        </w:rPr>
      </w:pPr>
    </w:p>
    <w:p>
      <w:pPr>
        <w:ind w:left="1080" w:right="200" w:hanging="424"/>
        <w:spacing w:after="0" w:line="259"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Leverage our management team’s experience to further develop and commercialize our current and future product portfolio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our management team’s experience to further develop and commercialize our current and future product portfolio. Our management team has held senior positions at leading biopharmaceutical companies, including Allergan, Inc., Bristol-Myers Squibb Company, Teva Pharmaceuticals Industries Ltd., Novartis Pharmaceuticals Corporation, Ardelyx, Inc., Pfizer Inc., Johnson and Johnson, Cephalon, Inc., Roche AG, PDL BioPharma, Inc., Xenoport, Inc.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500"/>
        <w:spacing w:after="0" w:line="282" w:lineRule="auto"/>
        <w:rPr>
          <w:sz w:val="20"/>
          <w:szCs w:val="20"/>
          <w:color w:val="auto"/>
        </w:rPr>
      </w:pPr>
      <w:r>
        <w:rPr>
          <w:rFonts w:ascii="Times New Roman" w:cs="Times New Roman" w:eastAsia="Times New Roman" w:hAnsi="Times New Roman"/>
          <w:sz w:val="18"/>
          <w:szCs w:val="18"/>
          <w:color w:val="auto"/>
        </w:rPr>
        <w:t>Chiron Corp. Our team has substantial experience in rapidly progressing new drug products to clinical proof of concept, completing successful pivotal registration programs and successfully commercializing products.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innovative non-opioid product portfolio has the potential to provide effective pain management therapies that can have a transformative impact on patients’ lives.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Management Team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management team has extensive experience in the pain and neurology center marketplace and a track record of successfully commercializing pain management and central nervous system products, which helps us in aiming to ensure that our current and future product candidates, pipeline programs, and partnerships in the marketplace are consistently of the highest quality.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management team is led by our Chief Executive Officer and President, Henry Ji, Ph.D.</w:t>
      </w:r>
    </w:p>
    <w:p>
      <w:pPr>
        <w:spacing w:after="0" w:line="225"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Dr. Ji is the holder of several issued and pending patents in the life science research field. Our Chief Operating Officer and Chief Financial Officer, Stephen Ma, has more than 15 years of finance and operational expertise across pharmaceuticals and venture-backed biotechnology companies. Our research efforts are guided by highly experienced scientists and experts. Our management team contributes a diverse range of experiences from leading biopharmaceutical companies, including Allergan, Inc., Bristol-Myers Squibb Company, Teva Pharmaceuticals Industries Ltd., Novartis Pharmaceuticals Corporation, Ardelyx, Inc., Johnson and Johnson, Pfizer Inc., Cephalon, Inc., Roche AG, PDL BioPharma, Inc., Xenoport, Inc. and Chiron Corp. With this leadership, we believe we are well positioned to achieve our vision of becoming the leading pain management company delivering novel non-opioid and non-addictive treatments aiming to provide safe, effective and durable relief of multiple pain conditions.</w:t>
      </w:r>
    </w:p>
    <w:p>
      <w:pPr>
        <w:spacing w:after="0" w:line="17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are supported by impressive teams across all levels of the organization. We hire and develop world-class talent from diverse backgrounds in biopharma, academia, technology and finance to ensure we have all of the capabilities to design and deliver first-class pain management therapies.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 Candidate —</w:t>
      </w:r>
      <w:r>
        <w:rPr>
          <w:rFonts w:ascii="Times New Roman" w:cs="Times New Roman" w:eastAsia="Times New Roman" w:hAnsi="Times New Roman"/>
          <w:sz w:val="18"/>
          <w:szCs w:val="18"/>
          <w:b w:val="1"/>
          <w:bCs w:val="1"/>
          <w:i w:val="1"/>
          <w:iCs w:val="1"/>
          <w:color w:val="auto"/>
        </w:rPr>
        <w:t>SP-102</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SP-102 is a pivotal Phase 3, novel, injectable viscous gel formulation of a widely used corticosteroid for epidural injections to treat sciatica. No ESIs are currently approved by the FDA.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Sciatica Market Overview</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particularly debilitating complication of back pathology is sciatica, which is a condition caused by mechanical compression of the nerve root, or by the effects of inflammatory mediators arising from a degenerative disc that results in inflammation and damage to the nerve roots. This nerve root compression in the lumbar segment of the spine causes shock-like or burning LBP combined with pain radiating down along the sciatic nerve through the buttocks and down one leg, sometimes reaching the foot. This often severe and debilitating leg pain is usually associated with symptoms of neuropathy-like numbness and tingling. The estimated lifetime incidence of sciatica ranges from 13% to 40% of the U.S. population, and about one-third of these cases will develop symptoms lasting over a year. According to a report by Decision Resources Group, it was estimated that over 4.8 million patients would suffer from sciatica in the United States in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 for SP-102</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assumed market for SP-102 is the U.S. ESI Market, with an average market growth rate of 3.6% through 2027 (as estimated by Syneos Health as part of its consulting assignment with Scilex in 2021 and Scilex internal market research, which takes into account Scilex’s anticipated promotional activities), with lower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growth thereafter. Projections for SP-102 revenues assume receipt of regulatory approval in 2027 with commercial launch in 2028, a market size of approximately 12.0 million ESI procedures annually (based on Syneos Health’s analysis of prescription claims data), an average growth rate of 3.6% year- over-year through 2027 and lower growth thereafter, a maximum market share of approximately 33% of the U.S. ESI market (based on Syneos Health’s analogue assessment of other similar products in the applicable market and primary market research with healthcare professional specialists as well as Scilex’s assessment of the competitive landscape and that there are currently no FDA-approved ESI therapies for sciatica). Based on the independent market research conducted by Syneos Health in 2020 and 2021, given the potential substantial utilization of SP-102, by the 5th year of launch, sales of SP-102 in sciatica are projected to reach $1.5 billion to $2.0 billion annually. As of the date of this prospectus, SP-102 has not received regulatory approval. As disclosed elsewhere, we expect commercial launch in 2028 but there is no guarantee that we will be able to commence a commercial launch of SP-102 in 2028 or ever, as any such launch would be subject to regulatory approval, which we may not receive.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Landscape and Limitations of Existing Treatments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the U.S. population ages, the incidence of sciatica and the need for interventions are expected to continue to increase. For example, from 2000 to 2018, ESIs in Medicare beneficiaries increased by more than 125%.</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Although there are numerous etiologies of sciatica, and therapies may differ based on the etiology, pain management interventions for sciatica are usually multi-modal. Among the pain management interventions, ESI is considered to be efficacious and has been widely used by physicians across multiple specialties, including anesthesiology, physical medicine and rehabilitation and pain medicine. However, there is no ESI therapy approved by the FDA for sciatica to date, and particulate formulations of glucocorticoids have been associated with severe adverse events.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Patients with sciatica have a wide range of invasive and non-invasive treatment options. Surgical intervention options include vertebroplasty, spinal laminectomy, discectomy, microdiscectomy, foraminotomy, intradiscal electrothermal therapy, nucleoplasty, radiofrequency denervation, spinal fusion and artificial disc replacement. These options are generally the last line of treatment because they can result in prolonged recovery time, may not be successful in reducing pain or addressing the underlying cause, and may result in permanent loss of flexibility. For these reasons, less invasive interventions are usually implemented first. Less invasive interventions may include (i) nonpharmacological therapies such as physical therapy, stretching exercises, spinal manipulations or chiropractic therapy, traction, acupuncture, transcutaneous electrical nerve stimulation, and biofeedback;</w:t>
      </w:r>
    </w:p>
    <w:p>
      <w:pPr>
        <w:spacing w:after="0" w:line="5" w:lineRule="exact"/>
        <w:rPr>
          <w:sz w:val="20"/>
          <w:szCs w:val="20"/>
          <w:color w:val="auto"/>
        </w:rPr>
      </w:pPr>
    </w:p>
    <w:p>
      <w:pPr>
        <w:ind w:left="120" w:right="160" w:hanging="4"/>
        <w:spacing w:after="0" w:line="260" w:lineRule="auto"/>
        <w:tabs>
          <w:tab w:leader="none" w:pos="3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pharmaceutical therapies such as NSAIDs, muscle relaxants, opiates, antidepressants, and anticonvulsants; and (iii) injectable pharmaceutical therapies such as off-label use of ESIs or nerve blocks.</w:t>
      </w:r>
    </w:p>
    <w:p>
      <w:pPr>
        <w:spacing w:after="0" w:line="18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ESIs for various back pain syndromes are one of the most common procedures performed in the United States and lumbosacral radicular ESI procedures represent 88% of total ESI procedures. ESIs are used when a patient’s pain is inadequately controlled with oral pain medications, topical systems or interventions such as physical therapy. ESIs have demonstrated efficacy in reducing pain, restoring function, reducing the need for other health care and avoiding back surgery. However, in addition to not being FDA-approved for the treatment of sciatica, currently-used ESIs also present various risks and challenges.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When administering an ESI, many physicians use a particulate steroid (including methylprednisolone acetate, triamcinolone acetonide, or betamethasone sodium phosphate or betamethasone sodium acetate) instead of a non-particulate steroid (dexamethasone sodium phosphate) because early studies suggested that the duration of pain relief was longer with the particulates and fewer repeat injections were required, even though dexamethasone is considered an otherwise potent and therapeutically beneficial therapy. Particulate in injectable products is defined as extraneous undissolved particles present in injectable solution products. An example of such particulate is precipitate of insoluble drug product form, or suspended drug product particle. These steroid particles or their aggregates have at least two mechanisms for neurological damage: (1) they can act as emboli if injected into an artery and are of sufficient size to block small terminal arterioles supplying the brain or spinal</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40"/>
          </w:cols>
          <w:pgMar w:left="320" w:top="455" w:right="5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cord; and (2) several particulate steroids have an immediate and massive effect on microvascular perfusion because of formation of red blood cell aggregates. These emboli can cause rare but catastrophic neurologic injuries including stroke and spinal cord injury that can result in increased pain, severe permanent disability or death. In addition, fungal meningitis has occurred from the injection of steroids manufactured in a compounding pharmacy that did not adhere to sterility standards.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FDA has been evaluating serious neurologic events with ESIs since 2009, and in 2014, the FDA required a class warning on the currently off-label use of injectable corticosteroids to include information about the risk of serious neurologic events with ESIs. The warning on product labels for all injectable glucocorticoids states that the product is to be used for intramuscular or intravenous purposes only, and specifically includes a warning for serious neurologic adverse reactions with epidural administration. These serious neurologic events have been reported with and without the use of fluoroscopy. The class warning also includes a statement that safety and effectiveness of epidural administration of these corticosteroids have not been established.</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third-party payors have also provided limited coverage of ESIs to date. Based on coverage criteria established by different health care plans and certain Medicare Administrative Contractors, an ESI is considered medically necessary and therefore reimbursable only when certain specific criteria are met.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developing SP-102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 excipient in lieu of particulates. The product is also formulated without the use of preservatives and packaged in a pre-filled syringe, so as to confer greater physician convenience.</w:t>
      </w:r>
    </w:p>
    <w:p>
      <w:pPr>
        <w:spacing w:after="0" w:line="183"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Currently-used steroids carry a class warning and are not approved to be administered epidurally for the treatment of sciatica. In fact, there are further warnings that the safety and efficacy of the use of these products following epidural administration has not been established. Their formulations include neurotoxic preservatives, surfactants, suspensions or particulates that carry risks of serious neurologic complications. Unlike currently- used steroids, SP-102 does not contain neurotoxic preservatives, surfactants, suspensions or particulates that carry risk of serious neurologic complications, which we believe may improve tolerability and the extent of pain relief. By using dexamethasone sodium phosphate, the soluble form of the potent dexamethasone, we believe SP-102 may substantially reduce the risk of embolic events in case of inadvertent intra-arterial administration and enable repeat injections. We expect the injectable viscous gel product, SP-102, which uses a biocompatible, biodegradable, novel excipient and is protected by multiple patents and patent applications and trade secrets, to prolong the residence time at the injection site and result in extended local activity. We believe SP-102, if successfully developed and approved, has the potential to reduce the disability related to LRP and help delay or avoid spine surgery.</w:t>
      </w:r>
    </w:p>
    <w:p>
      <w:pPr>
        <w:spacing w:after="0" w:line="17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decrease the use of opioids. 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We are currently 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completed a pivotal Phase 3 CLEAR trial (NCT03372161), which was designed to evaluate the tolerability and clinical benefit of SP-102 in the proposed indication (i.e., treatment of LRP). The CLEAR clinical trial is a randomized, double-blind, placebo-controlled, multicenter Phase 3 trial that enrolled 401 subjects with LRP at over 40 clinical sites across the United States, with a primary objective to evaluate the analgesic effect on average in the affected leg pain (as measured by the NPRS in the affected leg) following a single epidural transforaminal (TF) injection of SP-102, compared to an intramuscular (i.e., the posterior multifidus muscle) injection of placebo over four weeks. After the primary Week Four analysis period, and if the subject continued to experience leg pain, a repeat injection of open-label SP-102 was made optional at the investigator’s discretion.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Overview</w:t>
      </w:r>
    </w:p>
    <w:p>
      <w:pPr>
        <w:spacing w:after="0" w:line="121" w:lineRule="exact"/>
        <w:rPr>
          <w:sz w:val="20"/>
          <w:szCs w:val="20"/>
          <w:color w:val="auto"/>
        </w:rPr>
      </w:pPr>
    </w:p>
    <w:p>
      <w:pPr>
        <w:ind w:left="120" w:right="280" w:firstLine="440"/>
        <w:spacing w:after="0" w:line="230" w:lineRule="auto"/>
        <w:rPr>
          <w:sz w:val="20"/>
          <w:szCs w:val="20"/>
          <w:color w:val="auto"/>
        </w:rPr>
      </w:pPr>
      <w:r>
        <w:rPr>
          <w:rFonts w:ascii="Times New Roman" w:cs="Times New Roman" w:eastAsia="Times New Roman" w:hAnsi="Times New Roman"/>
          <w:sz w:val="18"/>
          <w:szCs w:val="18"/>
          <w:color w:val="auto"/>
        </w:rPr>
        <w:t>We have completed a Phase 3 pivotal study of SP-102. The CLEAR study is a randomized, double-blind, placebo-controlled Phase 3 trial that enrolled 401 patients with sciatica to compare the epidural administration of SP-102 to placebo. We announced final results from this study in March 2022. The Phase 3 study results have been published in PAIN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Journal in June 2024 and we also presented the pivotal Phase 3 trial results at the American Society of Interventional Pain Physicians annual meeting in Las Vegas, Nevada in May 2022.</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 and Highlights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SP-102 has been evaluated in a number of preclinical studies and clinical trials as a potential treatment for sciatica. Key findings from the preclinical studies and clinical trials include:</w:t>
      </w:r>
    </w:p>
    <w:p>
      <w:pPr>
        <w:spacing w:after="0" w:line="67" w:lineRule="exact"/>
        <w:rPr>
          <w:sz w:val="20"/>
          <w:szCs w:val="20"/>
          <w:color w:val="auto"/>
        </w:rPr>
      </w:pPr>
    </w:p>
    <w:p>
      <w:pPr>
        <w:ind w:left="1080" w:right="4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SP-102 into blood vessels did not result in neurological complications in the UPD003-IS21 preclinical toxicology study;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SP-102 showed an extended residence time and tolerability in the 1014-1512 and the 1014-2847 preclinical studies;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 injections of SP-102 showed continued pain reduction with no unexpected adverse events based on preliminary results from the SP-102-03 study;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SP-102 showed an extended local activity with epidural administration in the ES-1504 study.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Study Details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3 Pivotal Clinical Trial — CLEAR</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completed a pivotal, randomized, double-blind, placebo-controlled Phase 3 trial, CLEAR, that enrolled 401 patients with sciatica at over 40 sites across the United States. The study included an open-label extension where subjects were followed for up to 24 weeks after treatment to evaluate the tolerability of administering SP-102 in a larger patient population. After week four, subjects who met certain pain criteria received open-label SP-102 to investigate the tolerability of repeat injections and the duration of pain relief following injection. This well-controlled, double-blind, randomized trial was designed to demonstrate evidence of the analgesic effect and tolerability of SP-102. The schematic of this Phase 3 trial is demonstrated in the flowchart below.</w:t>
      </w:r>
    </w:p>
    <w:p>
      <w:pPr>
        <w:spacing w:after="0" w:line="18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primary objective of this study was to evaluate the analgesic effect of SP-102 on average leg pain, measured using the NPRS following a single transforaminal injection. These results were compared to an intra-muscular injection of placebo over a four-week period. The secondary objectives of this study include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hanging="4"/>
        <w:spacing w:after="0" w:line="266" w:lineRule="auto"/>
        <w:tabs>
          <w:tab w:leader="none" w:pos="3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degree of disability over time as measured by the ODI; (ii) characterization of the change of the subject’s radiculopathy symptoms and overall condition, using a combination of PainDETECT, modified Brief Pain Inventory, Clinical Global Impression of Change (“CGIC”), and Patient Global Impression of Change (“PGIC”) and (iii) evaluation of the tolerability of a single and repeat SP-102 injection.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Schematic of CLEAR - SP-102 (SEMDEXA) Phase 3 Pivotal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172720</wp:posOffset>
            </wp:positionV>
            <wp:extent cx="5194935" cy="22542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9493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Results of CLEAR - SP-102 Phase 3 Pivotal Trial</w:t>
      </w:r>
    </w:p>
    <w:p>
      <w:pPr>
        <w:spacing w:after="0" w:line="229" w:lineRule="exact"/>
        <w:rPr>
          <w:sz w:val="20"/>
          <w:szCs w:val="20"/>
          <w:color w:val="auto"/>
        </w:rPr>
      </w:pPr>
    </w:p>
    <w:p>
      <w:pPr>
        <w:ind w:left="120" w:right="180" w:firstLine="440"/>
        <w:spacing w:after="0" w:line="230" w:lineRule="auto"/>
        <w:rPr>
          <w:sz w:val="20"/>
          <w:szCs w:val="20"/>
          <w:color w:val="auto"/>
        </w:rPr>
      </w:pPr>
      <w:r>
        <w:rPr>
          <w:rFonts w:ascii="Times New Roman" w:cs="Times New Roman" w:eastAsia="Times New Roman" w:hAnsi="Times New Roman"/>
          <w:sz w:val="18"/>
          <w:szCs w:val="18"/>
          <w:color w:val="auto"/>
        </w:rPr>
        <w:t>A full six-month data analysis was completed in February 2022, and we announced final results from the study in March 2022, which results reflect achievement of primary and secondary endpoints. The Phase 3 study results have been published in PAIN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Journal (Miller et al 2024) and we also presented the pivotal Phase 3 trial results at the American Society of Interventional Pain Physicians annual meeting in Las Vegas, Nevada in May 2022.</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Phase 3 CLEAR trial summary results, which results reflect achievement of primary and majority of secondary endpoints, are as follows:</w:t>
      </w:r>
    </w:p>
    <w:p>
      <w:pPr>
        <w:spacing w:after="0" w:line="131" w:lineRule="exact"/>
        <w:rPr>
          <w:sz w:val="20"/>
          <w:szCs w:val="20"/>
          <w:color w:val="auto"/>
        </w:rPr>
      </w:pPr>
    </w:p>
    <w:p>
      <w:pPr>
        <w:ind w:left="1080" w:right="120" w:hanging="424"/>
        <w:spacing w:after="0" w:line="276" w:lineRule="auto"/>
        <w:tabs>
          <w:tab w:leader="none" w:pos="108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intent-to-treat (“ITT”) population, the primary endpoint of change in average daily NPRS pain in the affected leg over four weeks following the initial injection of SP-102 demonstrated least square (“LS”) mean treatment difference (standard error (“SE”)) of -0.52</w:t>
      </w:r>
    </w:p>
    <w:p>
      <w:pPr>
        <w:ind w:left="10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(0.163) units [95% confidence interval (“CI”): -0.84, -0.20] compared to placebo (P=0.002). The change from baseline to Week Four in the mean daily average NPRS pain score (standard deviation (“SD”)) in the affected leg was -1.81 (1.896) for SP-102 versus -1.29 (1.814) in the placebo group. The calculated standardized effect size (Cohen’s D calculated as the group mean difference divided by the pooled standard deviation) associated with the ITT population is 0.28. A statistically significant difference in the mean daily average NPRS pain change between SP-102 and placebo was observed at Week One with a mean change from baseline of -1.49 (1.519) for SP-102 and -1.02 (1.472) for placebo (P=0.002), which was maintained through Week Four. These highly significant differences between SP-102 and placebo were also observed following sensitivity analyses for fixed effects.</w:t>
      </w:r>
    </w:p>
    <w:p>
      <w:pPr>
        <w:spacing w:after="0" w:line="93" w:lineRule="exact"/>
        <w:rPr>
          <w:rFonts w:ascii="Times New Roman" w:cs="Times New Roman" w:eastAsia="Times New Roman" w:hAnsi="Times New Roman"/>
          <w:sz w:val="17"/>
          <w:szCs w:val="17"/>
          <w:color w:val="auto"/>
        </w:rPr>
      </w:pPr>
    </w:p>
    <w:p>
      <w:pPr>
        <w:jc w:val="both"/>
        <w:ind w:left="1080" w:right="100" w:hanging="424"/>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Likewise for the ITT population, most of the secondary endpoints at four weeks also demonstrated statistically significant results. For the key secondary endpoint of mean change in ODI from baseline, the LS mean treatment difference (SE) for SP-102 was -3.38 (1.388) units [95% CI: -6.11, -0.65] compared to placebo (P=0.015). SP-102 treatment resulted in a -8.88 point reduction from baseline, which exceeds the minimal clinically important difference of -8 established in a reported pain study.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1"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secondary endpoints with statistically significant results for the ITT population include worst pain in affected leg at Week Four (P=0.004) and over four weeks (P=0.001), current pain in the affected leg (P=0.009), average pain in lower back (P=0.035), Brief Pain Inventory-Short Form (“BPI-SF”) for pain severity (P=0.003) and pain interference (P=0.049), PGIC (P&lt;0.001) and CGIC (P&lt;0.001), with the proportion of patients achieving a response at 30% (P=0.002).</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repeat injection (50th quantile [95% CI]) for the ITT population was 84 (71, 100) days for SP-102 versus 58 (50, 69) days for placebo (P=0.001).</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Additional analyses were performed with the modified ITT population (“mITT”), the population with fluoroscopically confirmed needle placement. The primary endpoint group mean difference, associated standardized effect size (Cohen’s D), and statistical significance were improved for the mITT population (i.e., -1.08 (0.171), Cohen’s D = 0.68, P&lt;0.001), which were initially observed at week one and improved through Week Four. Similarly, the mITT population was observed to have improved with mostly highly statistically significant outcomes for SP-102 over placebo for the secondary endpoints. In contrast to the ITT population, the mITT population was observed to have statistically significant PainDETECT (a tool to detect neuropathic pain components) for SP-102 over placebo (P=0.037) as well as number of subjects experiencing a 50% reduction in pain in the affected leg (P&lt;0.001).</w:t>
      </w:r>
    </w:p>
    <w:p>
      <w:pPr>
        <w:spacing w:after="0" w:line="94" w:lineRule="exact"/>
        <w:rPr>
          <w:sz w:val="20"/>
          <w:szCs w:val="20"/>
          <w:color w:val="auto"/>
        </w:rPr>
      </w:pPr>
    </w:p>
    <w:p>
      <w:pPr>
        <w:ind w:left="1080" w:right="2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mITT population, the time to repeat injection (50th quantile [95% CI]) was 99 (78, 129) days for SP-102 versus 57 (49, 67) days for placebo.</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SAEs related to SP-102 or its administration procedure. There were no AEs leading to death, and no AEs of special interest (“AESIs”) (i.e., paraplegia, hematoma, or infection at the injection site). There were four (1.4%) subjects experiencing SAEs and one</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subject experiencing an AE leading to early withdrawal after receiving SP-102. Two (1.0%) subjects experienced an SAE, with one</w:t>
      </w:r>
    </w:p>
    <w:p>
      <w:pPr>
        <w:spacing w:after="0" w:line="9" w:lineRule="exact"/>
        <w:rPr>
          <w:rFonts w:ascii="Times New Roman" w:cs="Times New Roman" w:eastAsia="Times New Roman" w:hAnsi="Times New Roman"/>
          <w:sz w:val="18"/>
          <w:szCs w:val="18"/>
          <w:color w:val="auto"/>
        </w:rPr>
      </w:pPr>
    </w:p>
    <w:p>
      <w:pPr>
        <w:ind w:left="1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subject experiencing an AE leading to early withdrawal and one patient death following placebo. The fatal SAE was considered unrelated to the placebo or study procedure, as were the SAEs leading to early withdrawal. In general, a slightly higher proportion of subjects in the SP-102 group had treatment emergent AEs (“TEAEs”) than in the placebo group, (60 [29.7%] subjects vs 42 [21.1%] subjects with any TEAE). The most common TEAEs by system organ class (SOC) were nervous system disorders: 20 (9.9%) in the SP-102 group, 16 (8.0%) in the placebo group, and 20 (7.0%) in the SP-102 repeat injection group. The most common TEAEs by preferred term were headache, reported in 13 (6.4%) subjects in the SP-102 group, 11 (5.5%) subjects in the placebo group, and 10 (3.5%) subjects the SP-102 repeat injection group.</w:t>
      </w:r>
    </w:p>
    <w:p>
      <w:pPr>
        <w:spacing w:after="0" w:line="93"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headaches were more commonly reported in subjects exposed to SP-102 than in subjects not exposed to SP-102 through 12 weeks (6.5% vs 2.1%). Headaches were generally mild, transient, and associated with the epidural injection. Pain at the site of injection was only reported for subjects receiving SP-102 following the initial injection (2.0%) and repeat injection (0.7%). Otherwise, TEAEs occurring ≥2% of subjects were low and balanced between SP-102 and placebo. TEAEs occurring with an incidence ≥2% remained low following the repeat injection.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meaningful differences observed in physical examinations, vital signs, or laboratory parameters between treatment groups.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data from the primary endpoint analyses is graphically presented below. Summary tables are also provided for primary and secondary endpoints.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 Change From Baseline in NPRS Average Pain Score (Standard Error) in the Affected Leg (ITT Population)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SP-102 vs Placebo Weeks 1,2,3,4: p = 0.002, 0.005, 0.003, 0.003. Overall treatment Effect (Mean SP-102 vs Placebo difference): Diff = -0.52, 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0.163, p =0.002. Error Bars: 95% Confidence Limits.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Primary and Secondary Outcomes: NPRS Average Leg Pain In Affected Leg, ODI Total Score, Mean Daily NPRS (worst, current, and lower back), PainDetect, BPI-SF (Change from Baseline to Four Weeks; ITT Population)</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SP-102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Placebo</w:t>
            </w:r>
          </w:p>
        </w:tc>
        <w:tc>
          <w:tcPr>
            <w:tcW w:w="120" w:type="dxa"/>
            <w:vAlign w:val="bottom"/>
          </w:tcPr>
          <w:p>
            <w:pPr>
              <w:spacing w:after="0"/>
              <w:rPr>
                <w:sz w:val="13"/>
                <w:szCs w:val="13"/>
                <w:color w:val="auto"/>
              </w:rPr>
            </w:pPr>
          </w:p>
        </w:tc>
        <w:tc>
          <w:tcPr>
            <w:tcW w:w="13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LSM (SE)</w:t>
            </w:r>
          </w:p>
        </w:tc>
        <w:tc>
          <w:tcPr>
            <w:tcW w:w="12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95% CI</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P-value</w:t>
            </w: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N=202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N=199</w:t>
            </w: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2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Endpoint</w:t>
            </w: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Mean Change</w:t>
            </w:r>
          </w:p>
        </w:tc>
        <w:tc>
          <w:tcPr>
            <w:tcW w:w="100" w:type="dxa"/>
            <w:vAlign w:val="bottom"/>
          </w:tcPr>
          <w:p>
            <w:pPr>
              <w:spacing w:after="0"/>
              <w:rPr>
                <w:sz w:val="10"/>
                <w:szCs w:val="10"/>
                <w:color w:val="auto"/>
              </w:rPr>
            </w:pPr>
          </w:p>
        </w:tc>
        <w:tc>
          <w:tcPr>
            <w:tcW w:w="14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Mean Change</w:t>
            </w: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 Baseline</w:t>
            </w:r>
            <w:r>
              <w:rPr>
                <w:rFonts w:ascii="Times New Roman" w:cs="Times New Roman" w:eastAsia="Times New Roman" w:hAnsi="Times New Roman"/>
                <w:sz w:val="10"/>
                <w:szCs w:val="10"/>
                <w:b w:val="1"/>
                <w:bCs w:val="1"/>
                <w:color w:val="auto"/>
              </w:rPr>
              <w:t>(1)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from Baseline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NPRS Average Pain Score in the Affected Leg (primary</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endpoint)</w:t>
            </w:r>
            <w:r>
              <w:rPr>
                <w:rFonts w:ascii="Times New Roman" w:cs="Times New Roman" w:eastAsia="Times New Roman" w:hAnsi="Times New Roman"/>
                <w:sz w:val="26"/>
                <w:szCs w:val="26"/>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(1.814)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(0.187)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-0.92, -0.18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ODI total score (key secondary endpoint)</w:t>
            </w:r>
            <w:r>
              <w:rPr>
                <w:rFonts w:ascii="Times New Roman" w:cs="Times New Roman" w:eastAsia="Times New Roman" w:hAnsi="Times New Roman"/>
                <w:sz w:val="25"/>
                <w:szCs w:val="25"/>
                <w:color w:val="auto"/>
                <w:vertAlign w:val="superscript"/>
              </w:rPr>
              <w:t>(3)</w:t>
            </w: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-8.88 (14.684)</w:t>
            </w:r>
          </w:p>
        </w:tc>
        <w:tc>
          <w:tcPr>
            <w:tcW w:w="100" w:type="dxa"/>
            <w:vAlign w:val="bottom"/>
          </w:tcPr>
          <w:p>
            <w:pPr>
              <w:spacing w:after="0"/>
              <w:rPr>
                <w:sz w:val="18"/>
                <w:szCs w:val="18"/>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-5.48 (13.083)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-6.11, -0.65</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Worst pain in affected leg at Week Four</w:t>
            </w:r>
            <w:r>
              <w:rPr>
                <w:rFonts w:ascii="Times New Roman" w:cs="Times New Roman" w:eastAsia="Times New Roman" w:hAnsi="Times New Roman"/>
                <w:sz w:val="25"/>
                <w:szCs w:val="25"/>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(1.946)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(0.198)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-0.96, -0.18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0.004</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Worst pain in affected leg over Four Weeks</w:t>
            </w:r>
            <w:r>
              <w:rPr>
                <w:rFonts w:ascii="Times New Roman" w:cs="Times New Roman" w:eastAsia="Times New Roman" w:hAnsi="Times New Roman"/>
                <w:sz w:val="25"/>
                <w:szCs w:val="25"/>
                <w:color w:val="auto"/>
                <w:vertAlign w:val="superscript"/>
              </w:rPr>
              <w:t>(2)</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(0.173)</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-0.90, -0.22</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Current pain in affected leg</w:t>
            </w:r>
            <w:r>
              <w:rPr>
                <w:rFonts w:ascii="Times New Roman" w:cs="Times New Roman" w:eastAsia="Times New Roman" w:hAnsi="Times New Roman"/>
                <w:sz w:val="25"/>
                <w:szCs w:val="25"/>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 -0.2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Average pain in lower back</w:t>
            </w:r>
            <w:r>
              <w:rPr>
                <w:rFonts w:ascii="Times New Roman" w:cs="Times New Roman" w:eastAsia="Times New Roman" w:hAnsi="Times New Roman"/>
                <w:sz w:val="25"/>
                <w:szCs w:val="25"/>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0.035</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PainDETECT</w:t>
            </w:r>
            <w:r>
              <w:rPr>
                <w:rFonts w:ascii="Times New Roman" w:cs="Times New Roman" w:eastAsia="Times New Roman" w:hAnsi="Times New Roman"/>
                <w:sz w:val="25"/>
                <w:szCs w:val="25"/>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0.642</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Brief Pain Inventory – Short Form score (pain severity)</w:t>
            </w:r>
            <w:r>
              <w:rPr>
                <w:rFonts w:ascii="Times New Roman" w:cs="Times New Roman" w:eastAsia="Times New Roman" w:hAnsi="Times New Roman"/>
                <w:sz w:val="25"/>
                <w:szCs w:val="25"/>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(0.200)</w:t>
            </w: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-0.98, -0.20</w:t>
            </w: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0.003</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Brief Pain Inventory – Short Form score (pain interference)</w:t>
            </w:r>
            <w:r>
              <w:rPr>
                <w:rFonts w:ascii="Times New Roman" w:cs="Times New Roman" w:eastAsia="Times New Roman" w:hAnsi="Times New Roman"/>
                <w:sz w:val="25"/>
                <w:szCs w:val="25"/>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(2.095)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0.049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60" w:hanging="424"/>
        <w:spacing w:after="0" w:line="257"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Baseline NPRS score is the mean of at least five days and no more than seven days of scores from the screening visit until treatment randomization. For the current pain baseline is the last score prior to treatment. Baseline ODI is defined as the last ODI assessment score prior to the first dose on Day 1.</w:t>
      </w:r>
    </w:p>
    <w:p>
      <w:pPr>
        <w:spacing w:after="0" w:line="1"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uses a REML-based MMRM with fixed effects for treatment (SP-102 or placebo), week, site, Pain Catastrophizing Scale group (&lt;30 or ≥30), baseline score, and treatment-by-week interaction.</w:t>
      </w:r>
    </w:p>
    <w:p>
      <w:pPr>
        <w:ind w:left="540" w:right="220" w:hanging="424"/>
        <w:spacing w:after="0" w:line="26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uses an ANCOVA model with fixed effects for treatment (SP-102 or placebo), site, Pain Catastrophizing Scale group (&lt;30 or ≥30), and baseline score.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ANCOVA: analysis of covariance; ANOVA: analysis of variance; BPI-SF: Brief Pain Inventory – Short Form; CI: confidence interval; ITT: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intent-to-treat (randomized population); LSM: least-squares mean; MMRM: mixed model for repeated measures; NPRS: numeric pain rating scale;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REML: restricted maximum likelihood; SE: standard error</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Patient Global Impression of Change (PGIC) and Clinical Global Impression of Change (CGIC) – ITT Population</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SP-102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173"/>
        </w:trPr>
        <w:tc>
          <w:tcPr>
            <w:tcW w:w="58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N=202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N=199</w:t>
            </w:r>
          </w:p>
        </w:tc>
      </w:tr>
      <w:tr>
        <w:trPr>
          <w:trHeight w:val="178"/>
        </w:trPr>
        <w:tc>
          <w:tcPr>
            <w:tcW w:w="58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PGIC Responders (number of patients who responded with “very much</w:t>
            </w: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4"/>
        </w:trPr>
        <w:tc>
          <w:tcPr>
            <w:tcW w:w="584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improved” or “much improved”</w:t>
            </w:r>
            <w:r>
              <w:rPr>
                <w:rFonts w:ascii="Times New Roman" w:cs="Times New Roman" w:eastAsia="Times New Roman" w:hAnsi="Times New Roman"/>
                <w:sz w:val="26"/>
                <w:szCs w:val="26"/>
                <w:color w:val="auto"/>
                <w:vertAlign w:val="superscript"/>
              </w:rPr>
              <w:t>(1)</w:t>
            </w:r>
          </w:p>
        </w:tc>
        <w:tc>
          <w:tcPr>
            <w:tcW w:w="96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71 (35.1%)</w:t>
            </w:r>
          </w:p>
        </w:tc>
        <w:tc>
          <w:tcPr>
            <w:tcW w:w="1560" w:type="dxa"/>
            <w:vAlign w:val="bottom"/>
            <w:gridSpan w:val="3"/>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39 (19.6%)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Chi-Square</w:t>
            </w:r>
          </w:p>
        </w:tc>
        <w:tc>
          <w:tcPr>
            <w:tcW w:w="960" w:type="dxa"/>
            <w:vAlign w:val="bottom"/>
          </w:tcPr>
          <w:p>
            <w:pPr>
              <w:spacing w:after="0"/>
              <w:rPr>
                <w:sz w:val="18"/>
                <w:szCs w:val="18"/>
                <w:color w:val="auto"/>
              </w:rPr>
            </w:pPr>
          </w:p>
        </w:tc>
        <w:tc>
          <w:tcPr>
            <w:tcW w:w="1560" w:type="dxa"/>
            <w:vAlign w:val="bottom"/>
            <w:gridSpan w:val="3"/>
          </w:tcPr>
          <w:p>
            <w:pPr>
              <w:jc w:val="center"/>
              <w:ind w:right="868"/>
              <w:spacing w:after="0"/>
              <w:rPr>
                <w:sz w:val="20"/>
                <w:szCs w:val="20"/>
                <w:color w:val="auto"/>
              </w:rPr>
            </w:pPr>
            <w:r>
              <w:rPr>
                <w:rFonts w:ascii="Times New Roman" w:cs="Times New Roman" w:eastAsia="Times New Roman" w:hAnsi="Times New Roman"/>
                <w:sz w:val="18"/>
                <w:szCs w:val="18"/>
                <w:color w:val="auto"/>
              </w:rPr>
              <w:t>P&lt;0.001</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Logistic regression (odds ratio [95% CI])</w:t>
            </w:r>
            <w:r>
              <w:rPr>
                <w:rFonts w:ascii="Times New Roman" w:cs="Times New Roman" w:eastAsia="Times New Roman" w:hAnsi="Times New Roman"/>
                <w:sz w:val="22"/>
                <w:szCs w:val="22"/>
                <w:color w:val="auto"/>
                <w:vertAlign w:val="superscript"/>
              </w:rPr>
              <w:t>(2)</w:t>
            </w:r>
          </w:p>
        </w:tc>
        <w:tc>
          <w:tcPr>
            <w:tcW w:w="2520" w:type="dxa"/>
            <w:vAlign w:val="bottom"/>
            <w:gridSpan w:val="4"/>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2.25 (1.42, 3.54)</w:t>
            </w:r>
          </w:p>
        </w:tc>
      </w:tr>
      <w:tr>
        <w:trPr>
          <w:trHeight w:val="248"/>
        </w:trPr>
        <w:tc>
          <w:tcPr>
            <w:tcW w:w="5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center"/>
              <w:ind w:right="868"/>
              <w:spacing w:after="0"/>
              <w:rPr>
                <w:sz w:val="20"/>
                <w:szCs w:val="20"/>
                <w:color w:val="auto"/>
              </w:rPr>
            </w:pPr>
            <w:r>
              <w:rPr>
                <w:rFonts w:ascii="Times New Roman" w:cs="Times New Roman" w:eastAsia="Times New Roman" w:hAnsi="Times New Roman"/>
                <w:sz w:val="18"/>
                <w:szCs w:val="18"/>
                <w:color w:val="auto"/>
              </w:rPr>
              <w:t>P&lt;0.001</w:t>
            </w: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CGIC Responders (number of patients assessed as “very much improved” or</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584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“much improved”</w:t>
            </w:r>
            <w:r>
              <w:rPr>
                <w:rFonts w:ascii="Times New Roman" w:cs="Times New Roman" w:eastAsia="Times New Roman" w:hAnsi="Times New Roman"/>
                <w:sz w:val="26"/>
                <w:szCs w:val="26"/>
                <w:color w:val="auto"/>
                <w:vertAlign w:val="superscript"/>
              </w:rPr>
              <w:t>(1)</w:t>
            </w:r>
          </w:p>
        </w:tc>
        <w:tc>
          <w:tcPr>
            <w:tcW w:w="96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76 (37.6%)</w:t>
            </w: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8"/>
              </w:rPr>
              <w:t>39 (19.6%)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Chi-Square</w:t>
            </w:r>
          </w:p>
        </w:tc>
        <w:tc>
          <w:tcPr>
            <w:tcW w:w="9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868"/>
              <w:spacing w:after="0"/>
              <w:rPr>
                <w:sz w:val="20"/>
                <w:szCs w:val="20"/>
                <w:color w:val="auto"/>
              </w:rPr>
            </w:pPr>
            <w:r>
              <w:rPr>
                <w:rFonts w:ascii="Times New Roman" w:cs="Times New Roman" w:eastAsia="Times New Roman" w:hAnsi="Times New Roman"/>
                <w:sz w:val="18"/>
                <w:szCs w:val="18"/>
                <w:color w:val="auto"/>
              </w:rPr>
              <w:t>P&lt;0.001</w:t>
            </w: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Logistic regression (odds ratio [95% CI])</w:t>
            </w:r>
            <w:r>
              <w:rPr>
                <w:rFonts w:ascii="Times New Roman" w:cs="Times New Roman" w:eastAsia="Times New Roman" w:hAnsi="Times New Roman"/>
                <w:sz w:val="22"/>
                <w:szCs w:val="22"/>
                <w:color w:val="auto"/>
                <w:vertAlign w:val="superscript"/>
              </w:rPr>
              <w:t>(2)</w:t>
            </w:r>
          </w:p>
        </w:tc>
        <w:tc>
          <w:tcPr>
            <w:tcW w:w="25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2.49 (1.58, 3.91)</w:t>
            </w:r>
          </w:p>
        </w:tc>
      </w:tr>
      <w:tr>
        <w:trPr>
          <w:trHeight w:val="234"/>
        </w:trPr>
        <w:tc>
          <w:tcPr>
            <w:tcW w:w="5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center"/>
              <w:ind w:right="868"/>
              <w:spacing w:after="0"/>
              <w:rPr>
                <w:sz w:val="20"/>
                <w:szCs w:val="20"/>
                <w:color w:val="auto"/>
              </w:rPr>
            </w:pPr>
            <w:r>
              <w:rPr>
                <w:rFonts w:ascii="Times New Roman" w:cs="Times New Roman" w:eastAsia="Times New Roman" w:hAnsi="Times New Roman"/>
                <w:sz w:val="18"/>
                <w:szCs w:val="18"/>
                <w:color w:val="auto"/>
              </w:rPr>
              <w:t>P&lt;0.001</w:t>
            </w:r>
          </w:p>
        </w:tc>
      </w:tr>
    </w:tbl>
    <w:p>
      <w:pPr>
        <w:spacing w:after="0" w:line="117" w:lineRule="exact"/>
        <w:rPr>
          <w:sz w:val="20"/>
          <w:szCs w:val="20"/>
          <w:color w:val="auto"/>
        </w:rPr>
      </w:pPr>
    </w:p>
    <w:p>
      <w:pPr>
        <w:ind w:left="540" w:right="4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7-point scale rating patient’s overall improvement. Patient change is rated from “very much improved”, “much improved”, “minimally improved”, “no change”, “minimally worse”, “much worse” or “very much worse”.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160" w:hanging="444"/>
        <w:spacing w:after="0" w:line="407" w:lineRule="auto"/>
        <w:tabs>
          <w:tab w:leader="none" w:pos="5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 regression models with treatment (SP-102 or placebo), site, and Pain Catastrophizing Scale group(&lt;30 or ≥30) as factors. CI: confidence interval; ITT: intent-to-treat (randomized population)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 to Repeat Injection – ITT Population</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8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SP-102</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173"/>
        </w:trPr>
        <w:tc>
          <w:tcPr>
            <w:tcW w:w="5420" w:type="dxa"/>
            <w:vAlign w:val="bottom"/>
          </w:tcPr>
          <w:p>
            <w:pPr>
              <w:spacing w:after="0"/>
              <w:rPr>
                <w:sz w:val="15"/>
                <w:szCs w:val="15"/>
                <w:color w:val="auto"/>
              </w:rPr>
            </w:pPr>
          </w:p>
        </w:tc>
        <w:tc>
          <w:tcPr>
            <w:tcW w:w="1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N=202</w:t>
            </w: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N=199</w:t>
            </w:r>
          </w:p>
        </w:tc>
      </w:tr>
      <w:tr>
        <w:trPr>
          <w:trHeight w:val="178"/>
        </w:trPr>
        <w:tc>
          <w:tcPr>
            <w:tcW w:w="5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Number of patients with Repeat Injection of SP-102 (patients who</w:t>
            </w:r>
          </w:p>
        </w:tc>
        <w:tc>
          <w:tcPr>
            <w:tcW w:w="1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received open-label SP-102 between 4 and 20 weeks after initial</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injection)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 (66.3%)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w w:val="99"/>
              </w:rPr>
              <w:t>152 (76.4%)</w:t>
            </w: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Number of censored patients</w:t>
            </w:r>
            <w:r>
              <w:rPr>
                <w:rFonts w:ascii="Times New Roman" w:cs="Times New Roman" w:eastAsia="Times New Roman" w:hAnsi="Times New Roman"/>
                <w:sz w:val="25"/>
                <w:szCs w:val="25"/>
                <w:color w:val="auto"/>
                <w:vertAlign w:val="superscript"/>
              </w:rPr>
              <w:t>(1)</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68(33.7%)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47(23.6%)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Chi-Square</w:t>
            </w:r>
          </w:p>
        </w:tc>
        <w:tc>
          <w:tcPr>
            <w:tcW w:w="1800" w:type="dxa"/>
            <w:vAlign w:val="bottom"/>
            <w:gridSpan w:val="3"/>
            <w:shd w:val="clear" w:color="auto" w:fill="CCEEFF"/>
          </w:tcPr>
          <w:p>
            <w:pPr>
              <w:jc w:val="center"/>
              <w:ind w:left="1073"/>
              <w:spacing w:after="0"/>
              <w:rPr>
                <w:sz w:val="20"/>
                <w:szCs w:val="20"/>
                <w:color w:val="auto"/>
              </w:rPr>
            </w:pPr>
            <w:r>
              <w:rPr>
                <w:rFonts w:ascii="Times New Roman" w:cs="Times New Roman" w:eastAsia="Times New Roman" w:hAnsi="Times New Roman"/>
                <w:sz w:val="18"/>
                <w:szCs w:val="18"/>
                <w:color w:val="auto"/>
                <w:w w:val="98"/>
              </w:rPr>
              <w:t>P=0.026</w:t>
            </w:r>
          </w:p>
        </w:tc>
        <w:tc>
          <w:tcPr>
            <w:tcW w:w="114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Time (days) to Repeat Injection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134(66.3%)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8"/>
              </w:rPr>
              <w:t>152(76.4%)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Mean (SD)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67.0(33.31)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w w:val="99"/>
              </w:rPr>
              <w:t>57.8(31.69)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57.5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Min, Max</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27, 143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26, 148</w:t>
            </w:r>
          </w:p>
        </w:tc>
      </w:tr>
      <w:tr>
        <w:trPr>
          <w:trHeight w:val="216"/>
        </w:trPr>
        <w:tc>
          <w:tcPr>
            <w:tcW w:w="5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25th quantile (95% CI)</w:t>
            </w:r>
            <w:r>
              <w:rPr>
                <w:rFonts w:ascii="Times New Roman" w:cs="Times New Roman" w:eastAsia="Times New Roman" w:hAnsi="Times New Roman"/>
                <w:sz w:val="25"/>
                <w:szCs w:val="25"/>
                <w:color w:val="auto"/>
                <w:vertAlign w:val="superscript"/>
              </w:rPr>
              <w:t>(2)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45(43, 57)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rPr>
              <w:t>36(34, 40)</w:t>
            </w:r>
          </w:p>
        </w:tc>
      </w:tr>
      <w:tr>
        <w:trPr>
          <w:trHeight w:val="216"/>
        </w:trPr>
        <w:tc>
          <w:tcPr>
            <w:tcW w:w="54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50th quantile (95% CI)</w:t>
            </w:r>
            <w:r>
              <w:rPr>
                <w:rFonts w:ascii="Times New Roman" w:cs="Times New Roman" w:eastAsia="Times New Roman" w:hAnsi="Times New Roman"/>
                <w:sz w:val="25"/>
                <w:szCs w:val="25"/>
                <w:color w:val="auto"/>
                <w:vertAlign w:val="superscript"/>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84(71, 100)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58(50, 69)</w:t>
            </w:r>
          </w:p>
        </w:tc>
      </w:tr>
      <w:tr>
        <w:trPr>
          <w:trHeight w:val="216"/>
        </w:trPr>
        <w:tc>
          <w:tcPr>
            <w:tcW w:w="54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75th quantile (95% CI)</w:t>
            </w:r>
            <w:r>
              <w:rPr>
                <w:rFonts w:ascii="Times New Roman" w:cs="Times New Roman" w:eastAsia="Times New Roman" w:hAnsi="Times New Roman"/>
                <w:sz w:val="25"/>
                <w:szCs w:val="25"/>
                <w:color w:val="auto"/>
                <w:vertAlign w:val="superscript"/>
              </w:rPr>
              <w:t>(2)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143(141, 143)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w w:val="98"/>
              </w:rPr>
              <w:t>126(87, 146)</w:t>
            </w: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Comparison to Placebo</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6"/>
                <w:szCs w:val="16"/>
                <w:color w:val="auto"/>
              </w:rPr>
              <w:t xml:space="preserve"> (Hazard ratio [95% CI]):</w:t>
            </w:r>
          </w:p>
        </w:tc>
        <w:tc>
          <w:tcPr>
            <w:tcW w:w="294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rPr>
              <w:t>0.68(0.54, 0.86)</w:t>
            </w:r>
          </w:p>
        </w:tc>
      </w:tr>
      <w:tr>
        <w:trPr>
          <w:trHeight w:val="234"/>
        </w:trPr>
        <w:tc>
          <w:tcPr>
            <w:tcW w:w="5420" w:type="dxa"/>
            <w:vAlign w:val="bottom"/>
          </w:tcPr>
          <w:p>
            <w:pPr>
              <w:spacing w:after="0"/>
              <w:rPr>
                <w:sz w:val="20"/>
                <w:szCs w:val="20"/>
                <w:color w:val="auto"/>
              </w:rPr>
            </w:pPr>
          </w:p>
        </w:tc>
        <w:tc>
          <w:tcPr>
            <w:tcW w:w="1800" w:type="dxa"/>
            <w:vAlign w:val="bottom"/>
            <w:gridSpan w:val="3"/>
          </w:tcPr>
          <w:p>
            <w:pPr>
              <w:jc w:val="center"/>
              <w:ind w:left="1073"/>
              <w:spacing w:after="0"/>
              <w:rPr>
                <w:sz w:val="20"/>
                <w:szCs w:val="20"/>
                <w:color w:val="auto"/>
              </w:rPr>
            </w:pPr>
            <w:r>
              <w:rPr>
                <w:rFonts w:ascii="Times New Roman" w:cs="Times New Roman" w:eastAsia="Times New Roman" w:hAnsi="Times New Roman"/>
                <w:sz w:val="18"/>
                <w:szCs w:val="18"/>
                <w:color w:val="auto"/>
                <w:w w:val="98"/>
              </w:rPr>
              <w:t>P=0.001</w:t>
            </w:r>
          </w:p>
        </w:tc>
        <w:tc>
          <w:tcPr>
            <w:tcW w:w="1140" w:type="dxa"/>
            <w:vAlign w:val="bottom"/>
          </w:tcPr>
          <w:p>
            <w:pPr>
              <w:spacing w:after="0"/>
              <w:rPr>
                <w:sz w:val="20"/>
                <w:szCs w:val="20"/>
                <w:color w:val="auto"/>
              </w:rPr>
            </w:pPr>
          </w:p>
        </w:tc>
      </w:tr>
    </w:tbl>
    <w:p>
      <w:pPr>
        <w:spacing w:after="0" w:line="117" w:lineRule="exact"/>
        <w:rPr>
          <w:sz w:val="20"/>
          <w:szCs w:val="20"/>
          <w:color w:val="auto"/>
        </w:rPr>
      </w:pPr>
    </w:p>
    <w:p>
      <w:pPr>
        <w:ind w:left="540" w:hanging="424"/>
        <w:spacing w:after="0" w:line="261"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Censored patients are the following: (1) patients who do not receive a repeat injection of SP-102 and (2) patients who discontinued the study prior to Week 20 without receiving a repeat injection.</w:t>
      </w: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Quartiles are estimated using Kaplan-Meier estimation.</w:t>
      </w:r>
    </w:p>
    <w:p>
      <w:pPr>
        <w:spacing w:after="0" w:line="9" w:lineRule="exact"/>
        <w:rPr>
          <w:rFonts w:ascii="Times New Roman" w:cs="Times New Roman" w:eastAsia="Times New Roman" w:hAnsi="Times New Roman"/>
          <w:sz w:val="18"/>
          <w:szCs w:val="18"/>
          <w:color w:val="auto"/>
        </w:rPr>
      </w:pPr>
    </w:p>
    <w:p>
      <w:pPr>
        <w:ind w:left="540" w:right="300" w:hanging="424"/>
        <w:spacing w:after="0" w:line="26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Cox proportional hazards model was utilized to test the treatment difference while adjusting for site and Pain Catastrophizing Scale (&lt;30 or ≥30).</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 confidence interval; ITT: intent-to-treat (randomized population); SD: standard deviation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Responder Analysis (Change from Baseline in Mean NPRS, Average Daily Pain in Affected Leg)</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 ITT Population</w:t>
      </w:r>
    </w:p>
    <w:p>
      <w:pPr>
        <w:spacing w:after="0" w:line="1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SP-102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173"/>
        </w:trPr>
        <w:tc>
          <w:tcPr>
            <w:tcW w:w="58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N=202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N=199</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reduction</w:t>
            </w:r>
          </w:p>
        </w:tc>
        <w:tc>
          <w:tcPr>
            <w:tcW w:w="96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rPr>
              <w:t>88 (43.6%)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 (28.6%)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Chi-Square</w:t>
            </w:r>
          </w:p>
        </w:tc>
        <w:tc>
          <w:tcPr>
            <w:tcW w:w="960" w:type="dxa"/>
            <w:vAlign w:val="bottom"/>
          </w:tcPr>
          <w:p>
            <w:pPr>
              <w:spacing w:after="0"/>
              <w:rPr>
                <w:sz w:val="18"/>
                <w:szCs w:val="18"/>
                <w:color w:val="auto"/>
              </w:rPr>
            </w:pPr>
          </w:p>
        </w:tc>
        <w:tc>
          <w:tcPr>
            <w:tcW w:w="1560" w:type="dxa"/>
            <w:vAlign w:val="bottom"/>
            <w:gridSpan w:val="3"/>
          </w:tcPr>
          <w:p>
            <w:pPr>
              <w:jc w:val="center"/>
              <w:ind w:right="862"/>
              <w:spacing w:after="0"/>
              <w:rPr>
                <w:sz w:val="20"/>
                <w:szCs w:val="20"/>
                <w:color w:val="auto"/>
              </w:rPr>
            </w:pPr>
            <w:r>
              <w:rPr>
                <w:rFonts w:ascii="Times New Roman" w:cs="Times New Roman" w:eastAsia="Times New Roman" w:hAnsi="Times New Roman"/>
                <w:sz w:val="18"/>
                <w:szCs w:val="18"/>
                <w:color w:val="auto"/>
              </w:rPr>
              <w:t>P=0.002</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6"/>
                <w:szCs w:val="16"/>
                <w:color w:val="auto"/>
              </w:rPr>
              <w:t>Logistic regression</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6"/>
                <w:szCs w:val="16"/>
                <w:color w:val="auto"/>
              </w:rPr>
              <w:t xml:space="preserve"> (odds ratio [95% CI])</w:t>
            </w:r>
          </w:p>
        </w:tc>
        <w:tc>
          <w:tcPr>
            <w:tcW w:w="2520" w:type="dxa"/>
            <w:vAlign w:val="bottom"/>
            <w:gridSpan w:val="4"/>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1.96 (1.28, 2.98)</w:t>
            </w:r>
          </w:p>
        </w:tc>
      </w:tr>
      <w:tr>
        <w:trPr>
          <w:trHeight w:val="248"/>
        </w:trPr>
        <w:tc>
          <w:tcPr>
            <w:tcW w:w="58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jc w:val="center"/>
              <w:ind w:right="862"/>
              <w:spacing w:after="0"/>
              <w:rPr>
                <w:sz w:val="20"/>
                <w:szCs w:val="20"/>
                <w:color w:val="auto"/>
              </w:rPr>
            </w:pPr>
            <w:r>
              <w:rPr>
                <w:rFonts w:ascii="Times New Roman" w:cs="Times New Roman" w:eastAsia="Times New Roman" w:hAnsi="Times New Roman"/>
                <w:sz w:val="18"/>
                <w:szCs w:val="18"/>
                <w:color w:val="auto"/>
              </w:rPr>
              <w:t>P=0.002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50% reduction</w:t>
            </w:r>
          </w:p>
        </w:tc>
        <w:tc>
          <w:tcPr>
            <w:tcW w:w="96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rPr>
              <w:t>58 (28.7%)</w:t>
            </w: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8"/>
              </w:rPr>
              <w:t>41 (20.6%)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Chi-Square</w:t>
            </w:r>
          </w:p>
        </w:tc>
        <w:tc>
          <w:tcPr>
            <w:tcW w:w="9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center"/>
              <w:ind w:right="862"/>
              <w:spacing w:after="0"/>
              <w:rPr>
                <w:sz w:val="20"/>
                <w:szCs w:val="20"/>
                <w:color w:val="auto"/>
              </w:rPr>
            </w:pPr>
            <w:r>
              <w:rPr>
                <w:rFonts w:ascii="Times New Roman" w:cs="Times New Roman" w:eastAsia="Times New Roman" w:hAnsi="Times New Roman"/>
                <w:sz w:val="18"/>
                <w:szCs w:val="18"/>
                <w:color w:val="auto"/>
              </w:rPr>
              <w:t>P=0.060</w:t>
            </w: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Logistic regression</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6"/>
                <w:szCs w:val="16"/>
                <w:color w:val="auto"/>
              </w:rPr>
              <w:t xml:space="preserve"> (odds ratio [95% CI])</w:t>
            </w:r>
          </w:p>
        </w:tc>
        <w:tc>
          <w:tcPr>
            <w:tcW w:w="25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1.58 (0.99, 2.52)</w:t>
            </w:r>
          </w:p>
        </w:tc>
      </w:tr>
      <w:tr>
        <w:trPr>
          <w:trHeight w:val="234"/>
        </w:trPr>
        <w:tc>
          <w:tcPr>
            <w:tcW w:w="5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3"/>
          </w:tcPr>
          <w:p>
            <w:pPr>
              <w:jc w:val="center"/>
              <w:ind w:right="862"/>
              <w:spacing w:after="0"/>
              <w:rPr>
                <w:sz w:val="20"/>
                <w:szCs w:val="20"/>
                <w:color w:val="auto"/>
              </w:rPr>
            </w:pPr>
            <w:r>
              <w:rPr>
                <w:rFonts w:ascii="Times New Roman" w:cs="Times New Roman" w:eastAsia="Times New Roman" w:hAnsi="Times New Roman"/>
                <w:sz w:val="18"/>
                <w:szCs w:val="18"/>
                <w:color w:val="auto"/>
              </w:rPr>
              <w:t>P=0.055</w:t>
            </w:r>
          </w:p>
        </w:tc>
      </w:tr>
    </w:tbl>
    <w:p>
      <w:pPr>
        <w:spacing w:after="0" w:line="117" w:lineRule="exact"/>
        <w:rPr>
          <w:sz w:val="20"/>
          <w:szCs w:val="20"/>
          <w:color w:val="auto"/>
        </w:rPr>
      </w:pPr>
    </w:p>
    <w:p>
      <w:pPr>
        <w:ind w:left="540" w:hanging="424"/>
        <w:spacing w:after="0"/>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discontinued or have missing scores at Week Four were considered non-responders.</w:t>
      </w:r>
    </w:p>
    <w:p>
      <w:pPr>
        <w:spacing w:after="0" w:line="27" w:lineRule="exact"/>
        <w:rPr>
          <w:rFonts w:ascii="Times New Roman" w:cs="Times New Roman" w:eastAsia="Times New Roman" w:hAnsi="Times New Roman"/>
          <w:sz w:val="18"/>
          <w:szCs w:val="18"/>
          <w:color w:val="auto"/>
        </w:rPr>
      </w:pPr>
    </w:p>
    <w:p>
      <w:pPr>
        <w:ind w:left="540" w:right="200" w:hanging="424"/>
        <w:spacing w:after="0" w:line="260"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 regression models with treatment (SP-102 or placebo), site, and Pain Catastrophizing Scale group (&lt;30 or ≥30), and baseline averaged daily pain score as factors were used to compare the treatment groups at each week.</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60"/>
          </w:cols>
          <w:pgMar w:left="320" w:top="455" w:right="5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 confidence interval; ITT: intent-to-treat (randomized population)</w:t>
      </w:r>
    </w:p>
    <w:p>
      <w:pPr>
        <w:spacing w:after="0" w:line="331"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Interpreting Clinical Meaningfulness of SP-102 for the Treatment of LRP: a Post-Hoc Analysis of the CLEAR-1 Trial and a Systematic Review of Literature</w:t>
      </w:r>
    </w:p>
    <w:p>
      <w:pPr>
        <w:spacing w:after="0" w:line="5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Analgesic clinical trial studies performed to assess the efficacy of a pharmacological interventions produce results that require interpretation to fully understand their clinical meaningfulness. Commonly, these results are misinterpreted, with the most common source of confusion arising when the magnitude of group differences (typically between active and placebo) are conflated with the determination of the magnitude of improvement within subjects (as assessed by subjects and/or clinicians) that can be considered clinically important. Consequentially, substantial work by researchers, clinicians, and regulatory authorities has been done to establish consensus benchmarks for what constitutes clinically meaningful changes. The analgesic efficacy of SP-102 for the treatment of LRP was evaluated in the pivotal Phase 3 CLEAR-1 clinical trial. The objective of this post-hoc analysis was to interpret the clinical meaningfulness of the magnitude of group mean differences, based on consensus guidelines and benchmarks, of the CLEAR-1 trial by comparing to efficacy data observed for other analgesic products, and to evaluate these effects in the context of overall safety.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Statistical analyses for efficacy endpoints from the CLEAR-1 trial were performed for the ITT population, which included all randomized subjects, and the mITT population which included only subjects with fluoroscopic verification of successful injection. Group difference efficacy data are presented for the 4-week double-blind period (pre-specified and post-hoc analyses) and safety of single and repeat injections.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systematic review was conducted and all available clinical trials studies for approved products for chronic low back pain (11 products) and any placebo-controlled trials studies that assessed the efficacy of off-label use of ESIs (4 studies) were collected and the GMDs and standardized effect sizes (“SES”) (Cohen’s D) were calculated for comparison with the results of the CLEAR-1 trial.</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When the group mean difference (mITT: 1.08-point difference; ITT: 0.52) and SES (mITT: 0.68; ITT: 0.28) for the CLEAR-1 Trial are compared with those of other products known to be clinically meaningful analgesics for chronic low back pain, results for the ITT population were similar to those of the majority of other analgesics while the mITT population produced results greater than those of most (median of other products: group mean difference: 0.7- points; SES: 0.32); results were similar when compared against off-label ESIs (median group mean difference: 0.49; SES: 0.29). Similarly, when evaluating secondary endpoints with consensus clinically meaningful cutoffs (NPRS responder analyses, ODI, and Brief Pain Inventory — Pain Interference), statistically significant separation was observed for both populations.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Overall, these results support that SP-102 has a clinically meaningful effect in treating LRP based on assessment of group mean differences and SESs as recommended by consensus guidelines.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Phase 2 Repeat Dose Study — SP-102-03</w:t>
      </w:r>
    </w:p>
    <w:p>
      <w:pPr>
        <w:spacing w:after="0" w:line="11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conducted an open-label, single-arm, pharmacodynamics (“PD”) and tolerability study of repeat epidural injections of SP-102 in patients with sciatica. We conducted this study to characterize repeat dose PD with respect to hypothalamic-pituitary-adrenal suppression using plasma cortisol levels, white blood cell count and blood glucose levels.</w:t>
      </w:r>
    </w:p>
    <w:p>
      <w:pPr>
        <w:spacing w:after="0" w:line="176"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study enrolled 19 subjects, of which 15 received repeat SP-102 epidural injections four to eight weeks after the initial injection. Four of the subjects did not experience recurrent pain and thus did not require a repeat injection. The daily average, current and worst pain in the affected leg and back showed continuous reduction throughout the 28-day observation period for both treatments. Based on a preliminary review of the results, SP-102 injections were generally well tolerated and there were no new unexpected adverse events observed.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0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Mean Percentage Change in Sciatica-Related Leg Pain as Measured by NPRS </w:t>
      </w:r>
      <w:r>
        <w:rPr>
          <w:rFonts w:ascii="Times New Roman" w:cs="Times New Roman" w:eastAsia="Times New Roman" w:hAnsi="Times New Roman"/>
          <w:sz w:val="18"/>
          <w:szCs w:val="18"/>
          <w:i w:val="1"/>
          <w:iCs w:val="1"/>
          <w:color w:val="auto"/>
        </w:rPr>
        <w:t>Phase 1 Trial of SP-102 Compared to RLD—ES-1504</w:t>
      </w:r>
    </w:p>
    <w:p>
      <w:pPr>
        <w:spacing w:after="0" w:line="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conducted an open-label, single-arm, two-period, fixed sequential-dose study to evaluate the PK, PD and tolerability of SP-102 when administered by epidural injection. SP-102 was compared to intravenous dexamethasone sodium phosphate injection in subjects with lumbosacral radiculopathy. There were 12 subjects enrolled in this study, all of whom received SP-102 followed by the intravenous dexamethasone sodium phosphate injection (RLD) administered one month later. A RLD is an approved drug product to which new versions are compared to show that they are bioequivalent. The purpose of this study was to establish the pharmaceutical bridge between SP-102 and the RLD. The time to maximum serum concentration (“Tmax”) observed with the administration of SP-102 was four hours, compared to 15 minutes observed with intravenous dexamethasone. The PD parameters and tolerability profiles of both products were similar, and SP-102 did not prolong cortisol suppression time. SP-102 also maintained analgesic effects throughout a one-month observation period.</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overall systemic exposure of dexamethasone was similar, whether administered as SP-102 or injected intravenously, with a mean AUCinf of 0.916 µg*h/mL (observed with SP-102) compared to 0.943 µg*h/mL (observed with intravenously administered dexamethasone). Notably, there was a 16-fold increase in the Tmax following epidural injection of SP-102. The median Tmax was 4.00 hours for SP-102 compared to 0.25 hours for the comparison group. All 12 subjects with sciatica showed continuous reduction in back and leg pain during the one-month observation period following a single epidural injection of SP-102.</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study demonstrated that at an equivalent initial dose of dexamethasone, the systemic exposure to dexamethasone following epidural injection of SP-102 did not exceed the exposure following intravenous injection of the RLD. The PD effects, measured as white blood cell count, cortisol levels and glucose levels, as well as the tolerability profile, were similar between the two treatments. SP-102 injections were generally well tolerated and did not result in new unexpected side effects. We believe this trial supports a 505(b)(2) NDA, utilizing the known systemic safety of the FDA-approved RLD dose.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Toxicology Studies - Study Nos. 1014-1512 and 1014-2847</w:t>
      </w:r>
    </w:p>
    <w:p>
      <w:pPr>
        <w:spacing w:after="0" w:line="11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We conducted PK and toxicology studies in two non-rodent animal species to assess SP-102 administered via epidural and intrathecal routes with single and multiple dose regimens. Pharmacokinetically, a prolonged increase in the active dexamethasone metabolite was consistent with the extended residence time of the viscous gel formulation of SP-102 at the site of injection. There were no new unexpected toxicology findings apart from well-characterized toxicity findings commonly observed with administration of dexamethasone sodium phosphate. Based on these studies, we selected the 10mg dexamethasone in 2mL volume dose for our further clinical studies. This selection was endorsed by the FDA during our pre-IND meeting.</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Toxicology Study - UPD003-IS21</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conducted a preclinical toxicology study designed to simulate the accidental introduction of epidural steroids into arterial blood vessels providing blood supply to the spinal cord, which is a major cause of neurological complications associated with current administration of suspension steroids containing particulates. A 2 mL (10 mg of dexamethasone) injection of SP-102 was injected over one to two minutes into the vertebral artery of large animal species.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Pre- and post-dose angiography showed no remarkable changes and all animals survived for approximately 24 hours until euthanasia. The veterinary animal health report and the pathology report concluded there were no vascular, spinal cord or brain injuries associated with injection into the vertebral artery of the animals.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Hydrodynamic Study - SP-PC002</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conducted a hydrodynamic study of SP-102 in non-rodent animal species, which showed that epidural administration of SP-102 demonstrated an increased local residence half-life and a decreased flow from the injection site.</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Hydrodynamic Study - SP-PC002 Epidural Injection Time Course: SP-102 Post-injection in 2 mL SP-102 (DSP 5 mg/mL; 1.25% HA) + 647 mg iohexol vs. Commercial DSP:</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Intravascular Injection Study - SEM-005</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conducted a study to evaluate the accidental intravascular injection of SP-102 into the vertebral artery of non-rodent animals. There were no adverse clinical signs associated with the accidental intra-arterial injection of SP-102 following a 24-hour survival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leverage the robust and integrated commercial infrastructure and dedicated sales force and sales management, marketing, medical affairs and managed care capabilities, manufacturing and general administration functions of our parent company, Scilex, to commercialize our current and future product candidates, if approved. Scilex has successfully launched three commercial non-opioid pain management products in the past five years by using its in-house sales force and an outsourced sales force, who typically bring strong, proven experience promoting a broad scope of pain management products, as our current and future product candidates are commercialized. Scilex’s sales representatives leverage their established relationships with pain management HCPs to call on over 6,000 target pain specialists, neurologists, and select health care providers and we believe these same call points that are providing treatment for sciatica could benefit from SP-102, if approved. Scilex’s marketing team has expertise in pain management and has already launched three products in the pain market, and we intend to leverage Scilex’s marketing expertise to launch SP-102. In connection with the closing of the Business Combination, we entered into the Transition Services Agreement with Scilex, pursuant to which we can utilize certain employees and other service providers of Scilex to operate our business, including with respect to the following business functions: finance, human resources, information systems, legal and administrative, R&amp;D support and commercialization support. During the transition period and leveraging Scilex’s infrastructure, we will be able to develop our own infrastructure with Scilex’s continued support and as we enter the final stages of development and pre-launch commercialization planning, we plan to increase the number of full time employees to strengthen our research and development, general administrative, manufacturing, regulatory and commercial functions. The term of the Transition Services Agreement is three years following the closing of the Business Combination, which we believe is sufficient time for us to develop our commercial infrastructure and other business functions. See the section titled “</w:t>
      </w:r>
      <w:r>
        <w:rPr>
          <w:rFonts w:ascii="Times New Roman" w:cs="Times New Roman" w:eastAsia="Times New Roman" w:hAnsi="Times New Roman"/>
          <w:sz w:val="18"/>
          <w:szCs w:val="18"/>
          <w:i w:val="1"/>
          <w:iCs w:val="1"/>
          <w:color w:val="auto"/>
        </w:rPr>
        <w:t>Risk Factors — Risks Related to Our Relationship with Scilex</w:t>
      </w:r>
      <w:r>
        <w:rPr>
          <w:rFonts w:ascii="Times New Roman" w:cs="Times New Roman" w:eastAsia="Times New Roman" w:hAnsi="Times New Roman"/>
          <w:sz w:val="18"/>
          <w:szCs w:val="18"/>
          <w:color w:val="auto"/>
        </w:rPr>
        <w:t>” elsewhere in this prospectus.</w:t>
      </w:r>
    </w:p>
    <w:p>
      <w:pPr>
        <w:spacing w:after="0" w:line="19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have created cross functional launch teams and developed a launch playbook to guide us towards a successful launch. The launch will be guided by the playbook activities and timelines briefly summarized below:</w:t>
      </w:r>
    </w:p>
    <w:p>
      <w:pPr>
        <w:spacing w:after="0" w:line="63" w:lineRule="exact"/>
        <w:rPr>
          <w:sz w:val="20"/>
          <w:szCs w:val="20"/>
          <w:color w:val="auto"/>
        </w:rPr>
      </w:pPr>
    </w:p>
    <w:p>
      <w:pPr>
        <w:ind w:left="1080" w:right="30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 journey</w:t>
      </w:r>
      <w:r>
        <w:rPr>
          <w:rFonts w:ascii="Times New Roman" w:cs="Times New Roman" w:eastAsia="Times New Roman" w:hAnsi="Times New Roman"/>
          <w:sz w:val="18"/>
          <w:szCs w:val="18"/>
          <w:color w:val="auto"/>
        </w:rPr>
        <w:t>: Learn how a patient moves through the disease state and how the patient is treated from the early to late stages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disease.</w:t>
      </w:r>
    </w:p>
    <w:p>
      <w:pPr>
        <w:spacing w:after="0" w:line="60" w:lineRule="exact"/>
        <w:rPr>
          <w:rFonts w:ascii="Times New Roman" w:cs="Times New Roman" w:eastAsia="Times New Roman" w:hAnsi="Times New Roman"/>
          <w:sz w:val="18"/>
          <w:szCs w:val="18"/>
          <w:color w:val="auto"/>
        </w:rPr>
      </w:pPr>
    </w:p>
    <w:p>
      <w:pPr>
        <w:ind w:left="1080" w:right="38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HCP segmentation and profiling</w:t>
      </w:r>
      <w:r>
        <w:rPr>
          <w:rFonts w:ascii="Times New Roman" w:cs="Times New Roman" w:eastAsia="Times New Roman" w:hAnsi="Times New Roman"/>
          <w:sz w:val="18"/>
          <w:szCs w:val="18"/>
          <w:color w:val="auto"/>
        </w:rPr>
        <w:t>: Understand how to group physicians based on their prescription practices and other behaviors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that will influence their prescription practices.</w:t>
      </w:r>
    </w:p>
    <w:p>
      <w:pPr>
        <w:spacing w:after="0" w:line="60" w:lineRule="exact"/>
        <w:rPr>
          <w:rFonts w:ascii="Times New Roman" w:cs="Times New Roman" w:eastAsia="Times New Roman" w:hAnsi="Times New Roman"/>
          <w:sz w:val="18"/>
          <w:szCs w:val="18"/>
          <w:color w:val="auto"/>
        </w:rPr>
      </w:pPr>
    </w:p>
    <w:p>
      <w:pPr>
        <w:ind w:left="1080" w:right="18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Patient segmentation and profiling</w:t>
      </w:r>
      <w:r>
        <w:rPr>
          <w:rFonts w:ascii="Times New Roman" w:cs="Times New Roman" w:eastAsia="Times New Roman" w:hAnsi="Times New Roman"/>
          <w:sz w:val="18"/>
          <w:szCs w:val="18"/>
          <w:color w:val="auto"/>
        </w:rPr>
        <w:t>: Divide patients with sciatica into groups, according to gender, insurance type, state of disease,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factors that will help identify ways to increase SP-102’s utilization in each group of patients.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HCP and patient research</w:t>
      </w:r>
      <w:r>
        <w:rPr>
          <w:rFonts w:ascii="Times New Roman" w:cs="Times New Roman" w:eastAsia="Times New Roman" w:hAnsi="Times New Roman"/>
          <w:sz w:val="18"/>
          <w:szCs w:val="18"/>
          <w:color w:val="auto"/>
        </w:rPr>
        <w:t>: HCP research on how physicians treat sciatica, what are the unmet needs, what type of product physicians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want to use to treat sciatica, and their expectations from the new</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00"/>
        <w:spacing w:after="0" w:line="282" w:lineRule="auto"/>
        <w:rPr>
          <w:sz w:val="20"/>
          <w:szCs w:val="20"/>
          <w:color w:val="auto"/>
        </w:rPr>
      </w:pPr>
      <w:r>
        <w:rPr>
          <w:rFonts w:ascii="Times New Roman" w:cs="Times New Roman" w:eastAsia="Times New Roman" w:hAnsi="Times New Roman"/>
          <w:sz w:val="18"/>
          <w:szCs w:val="18"/>
          <w:color w:val="auto"/>
        </w:rPr>
        <w:t>product. Patient research provides us with information regarding how satisfied patients are with the current treatments, where the current treatments fall short, and their expectations on the new treatments.</w:t>
      </w:r>
    </w:p>
    <w:p>
      <w:pPr>
        <w:spacing w:after="0" w:line="63" w:lineRule="exact"/>
        <w:rPr>
          <w:sz w:val="20"/>
          <w:szCs w:val="20"/>
          <w:color w:val="auto"/>
        </w:rPr>
      </w:pPr>
    </w:p>
    <w:p>
      <w:pPr>
        <w:ind w:left="1080" w:right="8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Marketing conditioning campaign development</w:t>
      </w:r>
      <w:r>
        <w:rPr>
          <w:rFonts w:ascii="Times New Roman" w:cs="Times New Roman" w:eastAsia="Times New Roman" w:hAnsi="Times New Roman"/>
          <w:sz w:val="18"/>
          <w:szCs w:val="18"/>
          <w:color w:val="auto"/>
        </w:rPr>
        <w:t>: Determine how to condition the market, including by identifying the current short falls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unmet needs in current treatments, ways to highlight these prior to launch, and the expectations for the new treatments.</w:t>
      </w:r>
    </w:p>
    <w:p>
      <w:pPr>
        <w:spacing w:after="0" w:line="60" w:lineRule="exact"/>
        <w:rPr>
          <w:rFonts w:ascii="Times New Roman" w:cs="Times New Roman" w:eastAsia="Times New Roman" w:hAnsi="Times New Roman"/>
          <w:sz w:val="18"/>
          <w:szCs w:val="18"/>
          <w:color w:val="auto"/>
        </w:rPr>
      </w:pPr>
    </w:p>
    <w:p>
      <w:pPr>
        <w:ind w:left="1080" w:right="80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Product positioning</w:t>
      </w:r>
      <w:r>
        <w:rPr>
          <w:rFonts w:ascii="Times New Roman" w:cs="Times New Roman" w:eastAsia="Times New Roman" w:hAnsi="Times New Roman"/>
          <w:sz w:val="18"/>
          <w:szCs w:val="18"/>
          <w:color w:val="auto"/>
        </w:rPr>
        <w:t>: Position the product by highlighting physician feedback on the product (e.g., safety, efficacy and length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Branded campaign development and testing</w:t>
      </w:r>
      <w:r>
        <w:rPr>
          <w:rFonts w:ascii="Times New Roman" w:cs="Times New Roman" w:eastAsia="Times New Roman" w:hAnsi="Times New Roman"/>
          <w:sz w:val="18"/>
          <w:szCs w:val="18"/>
          <w:color w:val="auto"/>
        </w:rPr>
        <w:t>: Develop key messages around the benefits of SP-102.</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Campaign materials and temporary billing/coding reference guide</w:t>
      </w:r>
      <w:r>
        <w:rPr>
          <w:rFonts w:ascii="Times New Roman" w:cs="Times New Roman" w:eastAsia="Times New Roman" w:hAnsi="Times New Roman"/>
          <w:sz w:val="18"/>
          <w:szCs w:val="18"/>
          <w:color w:val="auto"/>
        </w:rPr>
        <w:t>: Develop materials for launch and promotion of SP-102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 billing codes guidelines for physicians to charge insurance for SP-102.</w:t>
      </w:r>
    </w:p>
    <w:p>
      <w:pPr>
        <w:spacing w:after="0" w:line="60" w:lineRule="exact"/>
        <w:rPr>
          <w:rFonts w:ascii="Times New Roman" w:cs="Times New Roman" w:eastAsia="Times New Roman" w:hAnsi="Times New Roman"/>
          <w:sz w:val="18"/>
          <w:szCs w:val="18"/>
          <w:color w:val="auto"/>
        </w:rPr>
      </w:pPr>
    </w:p>
    <w:p>
      <w:pPr>
        <w:ind w:left="1080" w:right="240" w:hanging="424"/>
        <w:spacing w:after="0" w:line="268"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Omnichannel promotion material development</w:t>
      </w:r>
      <w:r>
        <w:rPr>
          <w:rFonts w:ascii="Times New Roman" w:cs="Times New Roman" w:eastAsia="Times New Roman" w:hAnsi="Times New Roman"/>
          <w:sz w:val="18"/>
          <w:szCs w:val="18"/>
          <w:color w:val="auto"/>
        </w:rPr>
        <w:t>: Develop promotion materials for various channels, ensuring a consistent message,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 and tone. These materials could include materials to sales representatives, journal advertisement, direct communication to patient and congress materials.</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name submission to FDA</w:t>
      </w:r>
      <w:r>
        <w:rPr>
          <w:rFonts w:ascii="Times New Roman" w:cs="Times New Roman" w:eastAsia="Times New Roman" w:hAnsi="Times New Roman"/>
          <w:sz w:val="18"/>
          <w:szCs w:val="18"/>
          <w:color w:val="auto"/>
        </w:rPr>
        <w:t>: Submit the trade name to FDA prior to filing NDA.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OPDP submission strategy</w:t>
      </w:r>
      <w:r>
        <w:rPr>
          <w:rFonts w:ascii="Times New Roman" w:cs="Times New Roman" w:eastAsia="Times New Roman" w:hAnsi="Times New Roman"/>
          <w:sz w:val="18"/>
          <w:szCs w:val="18"/>
          <w:color w:val="auto"/>
        </w:rPr>
        <w:t>: Submit launch materials to FDA based on the approved prescribing label.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Packaging research</w:t>
      </w:r>
      <w:r>
        <w:rPr>
          <w:rFonts w:ascii="Times New Roman" w:cs="Times New Roman" w:eastAsia="Times New Roman" w:hAnsi="Times New Roman"/>
          <w:sz w:val="18"/>
          <w:szCs w:val="18"/>
          <w:color w:val="auto"/>
        </w:rPr>
        <w:t>: Conduct research on packaging methods with customers, including pharmacists, physicians, nurses, and people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handle the product, to ensure the packaging is convenient for those using SP-102.</w:t>
      </w:r>
    </w:p>
    <w:p>
      <w:pPr>
        <w:spacing w:after="0" w:line="60"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Baseline/Pre-launch HCP ATU</w:t>
      </w:r>
      <w:r>
        <w:rPr>
          <w:rFonts w:ascii="Times New Roman" w:cs="Times New Roman" w:eastAsia="Times New Roman" w:hAnsi="Times New Roman"/>
          <w:sz w:val="18"/>
          <w:szCs w:val="18"/>
          <w:color w:val="auto"/>
        </w:rPr>
        <w:t>: Based on product profile messaging, discuss with physicians how they intend to prescribe the product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what key messages resonate with them, and their awareness of SP-102. This is to determine which patients are fit to use the product. This is usually done prior to launch and every six to nine months thereafter for the first two to three years.</w:t>
      </w:r>
    </w:p>
    <w:p>
      <w:pPr>
        <w:spacing w:after="0" w:line="76"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Quant demand study</w:t>
      </w:r>
      <w:r>
        <w:rPr>
          <w:rFonts w:ascii="Times New Roman" w:cs="Times New Roman" w:eastAsia="Times New Roman" w:hAnsi="Times New Roman"/>
          <w:sz w:val="18"/>
          <w:szCs w:val="18"/>
          <w:color w:val="auto"/>
        </w:rPr>
        <w:t>: Discuss with physicians anticipated patient demand for, and physician prescription of, SP-102 as well as dosage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This information will help us develop an accurate forecast and plan for sufficient supply of the product.</w:t>
      </w:r>
    </w:p>
    <w:p>
      <w:pPr>
        <w:spacing w:after="0" w:line="60" w:lineRule="exact"/>
        <w:rPr>
          <w:rFonts w:ascii="Times New Roman" w:cs="Times New Roman" w:eastAsia="Times New Roman" w:hAnsi="Times New Roman"/>
          <w:sz w:val="18"/>
          <w:szCs w:val="18"/>
          <w:color w:val="auto"/>
        </w:rPr>
      </w:pPr>
    </w:p>
    <w:p>
      <w:pPr>
        <w:ind w:left="1080" w:right="300" w:hanging="424"/>
        <w:spacing w:after="0" w:line="28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Forecast refresh</w:t>
      </w:r>
      <w:r>
        <w:rPr>
          <w:rFonts w:ascii="Times New Roman" w:cs="Times New Roman" w:eastAsia="Times New Roman" w:hAnsi="Times New Roman"/>
          <w:sz w:val="18"/>
          <w:szCs w:val="18"/>
          <w:color w:val="auto"/>
        </w:rPr>
        <w:t>: Ongoing analysis of product demand, patient usage, physician feedback, reimbursement levels and other matters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impact the use of SP-102 and update our forecast accordingly.</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and Regulatory</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Our clinical development team, which, as discussed above in further detail, consists of dedicated Scilex employees and contractors, includes in-house medical expertise and clinical development experts. The clinical development team works with our CRO to identify sites for clinical trials, support the investigator teams and develop publication plans for our product candidate. Additionally, the clinical development team also works with Key Opinion Leaders, professional societies and patient advocacy groups to educate on and support the appropriate use of pain therapeutics. Our clinical development team is responsible for determining registration or supportive studies, overseeing post-approval studies and supporting investigator-sponsored trials. Our regulatory team includes in-house and consultant regulatory professionals as well as ex-FDA regulatory expert advisors. We contract external regulatory group for publishing and performing submissions to the FDA and other regulatory agencies, including Health Canada.</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 Chain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assembly, testing, packaging and storage of our product candidate. Our technical team has extensive pharmaceutical development, manufacturing, analytical, quality and distribution experience and is qualified and capable of managing manufacturing and supply chain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operations. Our Quality System, Standard Operating Procedures and contract manufacturing organizations (“CMOs”) comply with cGMP and regulatory requirements. We selected our CMOs for specific competencies having met our development, manufacturing, quality and the FDA regulatory requirements. These CMOs manufacture our clinical supplies and commercial batches. We currently have no plans to build our own manufacturing or distribution infrastructure.</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clinical trial development progresses forward, we will continue to explore both internal capabilities as well as deepening and expanding external relationships to ensure we meet our manufacturing requirements.</w:t>
      </w:r>
    </w:p>
    <w:p>
      <w:pPr>
        <w:spacing w:after="0" w:line="162"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SP-102 is a Phase 3 sterile dexamethasone sodium phosphate injectable viscous gel drug product containing dexamethasone sodium phosphate equivalent to 10 mg dexamethasone in a pre-filled glass syringe with a 2 mL deliverable volume. SP-102 also contains sodium hyaluronate, which is a novel, biocompatible, viscosity- enhancing excipient and is listed in the European Pharmacopeia.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We are currently in discussions with Sanofi, an affiliate of Genzyme, and are in the process of identifying and certifying new suppliers, in each case to fulfill our future supply requirements for sodium hyaluronate. SP-102 is manufactured by a single-source manufacturer, which supports the clinical development, including the completed Phase 3 clinical trial of SP-102. In March 2022, we announced final results of the Phase 3 clinical trial, satisfying the primary and key secondary endpoints. The manufacturing process is proprietary and includes trade secrets.</w:t>
      </w:r>
    </w:p>
    <w:p>
      <w:pPr>
        <w:spacing w:after="0" w:line="1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plan to engage our existing contract manufacturer, Lifecore, for the commercial production of SP-102, if approved. See the section of this prospectus titled “</w:t>
      </w:r>
      <w:r>
        <w:rPr>
          <w:rFonts w:ascii="Times New Roman" w:cs="Times New Roman" w:eastAsia="Times New Roman" w:hAnsi="Times New Roman"/>
          <w:sz w:val="18"/>
          <w:szCs w:val="18"/>
          <w:i w:val="1"/>
          <w:iCs w:val="1"/>
          <w:color w:val="auto"/>
        </w:rPr>
        <w:t>Business — Material Agreements — Lifecore Master Services Agreement</w:t>
      </w:r>
      <w:r>
        <w:rPr>
          <w:rFonts w:ascii="Times New Roman" w:cs="Times New Roman" w:eastAsia="Times New Roman" w:hAnsi="Times New Roman"/>
          <w:sz w:val="18"/>
          <w:szCs w:val="18"/>
          <w:color w:val="auto"/>
        </w:rPr>
        <w:t>” for additional information regarding the manufacturing of our SP-102 product.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pain management market makes it an attractive therapeutic area for biopharmaceutical businesses. Our potential competitors include pharmaceutical, biotechnology and specialty pharmaceutical companies. Many of these companies have drug product pipelines, readily available capital, and established research and development organizations.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SP-102, if approved, has the potential to become the first FDA-approved epidural steroid product for the treatment of sciatica. While there are currently no FDA-approved ESIs indicated for the treatment of sciatica, we are aware of certain non-steroid product candidates in development. SP-102, if approved,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spacing w:after="0" w:line="183" w:lineRule="exact"/>
        <w:rPr>
          <w:sz w:val="20"/>
          <w:szCs w:val="20"/>
          <w:color w:val="auto"/>
        </w:rPr>
      </w:pPr>
    </w:p>
    <w:p>
      <w:pPr>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the FDA and other regulatory approvals of product candidates, formulating and manufacturing product candidates and launching, marketing and selling product candidates.</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 products as well as drug products that are in the development pipelines of our competitors and later enter the market.</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SP-102 are likely to be its clinical benefit, durability, tolerability, price, intellectual property protection, and the availability of reimbursement from government and other third-party payors.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(the “PIPE SPA”)</w:t>
      </w:r>
    </w:p>
    <w:p>
      <w:pPr>
        <w:spacing w:after="0" w:line="1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On August 20, 2025, we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December 31, 2025, the transaction has not closed and accordingly, shares have not been issued and funds have not been received. As the transaction did not close on or before December 31, 2025, the nonbreaching party has an option to terminate the PIPE SPA without liability.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in connection with the PIPE SPA, we are obligated to pay a cash financing service fee of 7% of the received investment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Bitcoin Securities Purchase Agreement (the “Semnur/Biconomy SPA”)</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September 23, 2025, we entered into the Semnur/Biconomy SPA with Biconomy PTE.LTD (“Biconomy”). Pursuant to the Semnur/Biconomy SPA, we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As of December 31, 2025, the transaction has not closed and accordingly, shares have not been issued and funds have not been received. As the transaction did not close on or before December 31, 2025, the nonbreaching party has an option to terminate the Semnur/Biconomy SPA without liability.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we have promissory notes totaling $3.5 million, all of which are due in less than a year.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payment schedules in the promissory notes, the balance due on any notes (less any payments previously made to the holder thereunder) shall be accelerated and become immediately due and payable in the event we receive gross proceeds from any equity or debt financing (including any private placement offering or registered offering), in an amount equal to or greater than the then-outstanding principal of such note plus any accrued but unpaid interest due thereon.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case of an event of default, the promissory notes shall bear interest at a rate of 10% per annum until such event of default is cured. The promissory notes shall become immediately due and payable (in accordance with the terms thereof), upon our failure to make payments thereunder when due (subject to a 14-day cure period) or certain other actions related to voluntary or involuntary bankruptcy proceedings (as more fully described therein).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Lifecore Master Services Agreement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27, 2017, Legacy Semnur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Legacy Semnur granted Lifecore a nonexclusive, worldwide and royalty-free license under our owned or controlled intellectual property rights necessary to manufacture SP-102, without additional right, title or interest in our intellectual property. The Lifecore Master Services Agreement expires on December 31, 2028, unless terminated earlier in accordance with the terms of such agreement, or unless renewed further by the parties.</w:t>
      </w:r>
    </w:p>
    <w:p>
      <w:pPr>
        <w:spacing w:after="0" w:line="189"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foregoing is a summary of the material terms of the Lifecore Master Services Agreement and the amendments thereto in the forms filed as exhibits to this prospectus. You should read the form of the agreement and its amendments for a complete understanding of all of their respective terms.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Semnur Merger Agreement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March 18, 2019, Legacy Semnur was acquired by Scilex pursuant to an Agreement and Plan of Merger with Semnur (as amended, the “Legacy Semnur Merger Agreement”),</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us through an intercompany arrangement), comprised of a $40.0 million payment that will be due upon obtaining the first approval of a NDA of our product by the FDA and additional payments that will be due upon the achievement of certain amounts of net sales of our products, as follows: (i) a $20.0 million payment upon the achievement of $100.0 million in cumulative net sales of our product, (ii) a $20.0 million payment upon the achievement of $250.0 million in cumulative net sales of our product, (iii) a $50.0 million payment upon the achievement of $500.0 million in cumulative net sales of our product, and (iv) a $150.0 million payment upon the achievement of $750.0 million in cumulative net sales of our product. To date, none of the foregoing payments have been triggered.</w:t>
      </w:r>
    </w:p>
    <w:p>
      <w:pPr>
        <w:spacing w:after="0" w:line="19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foregoing is a summary of the material terms of the Legacy Semnur Merger Agreement (including the amendment thereto) in the forms filed as exhibits to this prospectus. You should read the Legacy Semnur Merger Agreement (including the amendment thereto) for a complete understanding of all of their respective terms.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Shah Assignment Agreement</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Shah Assignment Agreement continues in full force and effect on a country-by-country and product-by-product basis until royalties are no longer due on such product under the agreement.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Shah Investor is not related to Jaisim Shah, our former Chief Executive Officer, and Jaisim Shah has no direct or indirect material interest in the Shah Assignment Agreement.</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foregoing is a summary of the material terms of Shah Assignment Agreement in the form filed as an exhibit to this prospectus. You should read the Shah Assignment Agreement for a complete understanding of all of its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novel adhesion and delivery technology, inventions, improvements and product candidates that are important to the development and implementation of our business. Our patent portfolio is intended to cover our product candidates, their methods of use and processes for their manufacture, and any other inventions that are commercially important to our business. We also rely on trade secret protection of our confidential information and know-how relating to our novel adhesion and delivery technology, platforms and product candidates.</w:t>
      </w:r>
    </w:p>
    <w:p>
      <w:pPr>
        <w:spacing w:after="0" w:line="18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Generally, patents are granted a term of 20 years from the earliest claimed non-provisional filing date. In certain instances, the patent term can be adjusted to recapture a portion of delay by the U.S. PTO in examining the patent application or extended to account for term effectively lost as a result of the FDA regulatory review period, or both. We cannot provide any assurance that any patents will be issued from our pending or future applications or that any patents will adequately protect our product or product candidates.</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patent portfolio, consisting of owned and/or licensed IP as of December 31, 2025 contains approximately seven issued and unexpired U.S. patents and two pending U.S. patent applications. Our portfolio also includes certain foreign counterparts of these patents and patent applications including in most major international markets.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With respect to our product candidate SP-102, the patents and patent applications that we own include formulations and methods of treatment. The patents are U.S. Pat. Nos. 10,500,284, 10,117,938, and 11,020,485, all of which expire in 2036. We continue to seek to maximize the scope of our patent protection for all our programs.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believe that we have certain know-how and trade secrets relating to our technology and product candidate. We rely on trade secrets to protect certain aspects of our technology related to our current and future product candidate. However, trade secrets can be difficult to protect. We seek to protect our trade secrets, in part, by entering into confidentiality agreements with our employees, consultants, scientific advisors, service providers, and contractors. We also seek to preserve the integrity and confidentiality of our data and trade secrets by maintaining physical security of our premises and physical and electronic security of our information technology systems.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Trademarks, Trade Secrets and Other Proprietary Information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file trademark applications and pursue registrations in the United States and abroad when appropriate. We own pending trademark applications for “SEMNUR PHARMACEUTICALS” and “SEMDEXA” in the United States.</w:t>
      </w:r>
    </w:p>
    <w:p>
      <w:pPr>
        <w:spacing w:after="0" w:line="162"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We also depend upon the skills, knowledge and experience of our scientific and technical personnel, as well as that of our advisors, consultants and other contractors. To help protect our proprietary know-how, we rely on trade secret protection and confidentiality agreements to protect our interests. Our policy is to require each of our 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will own all inventions conceived by the individual in the course of rendering services to us.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2028.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We believe that our competitors will be required to conduct lengthy and costly preclinical and clinical trials to establish products with comparable tolerability profiles and clinical benefit to SP-102.</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levels, and in other countries and jurisdictions, extensively regulate, among other things, the research, development, testing, manufacture, pricing, reimbursement, sales, quality control, approval, labeling, packaging, storage, record-keeping, promotion, advertising, distribution, post-approval monitoring and reporting, marketing and export and import of products such as those we are marketing and developing. SP-102 and any other product candidate that we develop must be approved by the FDA or otherwise authorized for marketing before they may be legally marketed in the United States and by the corresponding foreign regulatory agencies before they may be legally marketed in foreign countries. The processes for obtaining marketing approvals, along with subsequent compliance with applicable statutes and regulations and other regulatory authorities, require the expenditure of substantial time and financial resources.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 Process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FDCA and implementing regulations. Drugs are also subject to other federal, state and local statutes and regulations. The process of obtaining regulatory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approvals and the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or its products to a variety of administrative or judicial sanctions, such as imposition of a clinical hold, the FDA’s refusal to approve pending applications, withdrawal of an approval, inspection scrutiny, issuance of untitled or warning letters, product recalls, product seizures, total or partial suspension of production or distribution, injunctions, fines, refusals of government contracts, or reimbursements, restitution, disgorgement of profits or other civil or criminal penalties. The process required by the FDA before a drug product may be marketed in the United States generally involves the following:</w:t>
      </w:r>
    </w:p>
    <w:p>
      <w:pPr>
        <w:spacing w:after="0" w:line="9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GLPs or other applicable regulations;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covering each clinical site before each trial may be initiated;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laws and regulations pertaining to the conduct of human clinical trials, collectively referred to as GCP requirements to establish the safety and efficacy of the proposed drug product for its proposed indication;</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or other marketing application, for a proposed new drug product, which includes not only the results of the clinical trials, but also, detailed information on the chemistry, manufacturing and quality controls, as well as proposed labeling for the drug candidate;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(“PAI”) of the manufacturing facility or facilities where the drug substance, drug product, packaging components and device are produced to assess compliance with the FDA’s cGMP requirements to assure that the facilities, manufacturing, methods and controls are adequate to preserve the drug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 clinical trial sites that generated the data in support of the NDA;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distribution or shipment of the drug product.</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testing novel compounds with potential therapeutic value in humans, the drug candidate enters the preclinical testing stage, also referred to as preclinical studies. Preclinical studies include laboratory evaluations of product chemistry, toxicity and formulation, as well as animal studies to assess the potential safety and activity of the drug product candidate. The conduct of the preclinical studies must comply with federal laws and requirements including GLPs. The IND sponsor must submit the results of the preclinical studies, together with manufacturing information, analytical data, and any available clinical data or literature,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studies may continue even after the IND is submitted.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product candidate at any time before or during clinical trials due to safety concerns, non-compliance, or for additional reasons. Accordingly, we cannot be sure that submission of an IND will result in the FDA allowing clinical trials to begin, or that, once begun, issues will not arise that suspend or terminate such trial.</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drug candidate to healthy subjects or patients with the target disease under the supervision of qualified investigators, generally physicians not employed by the trial sponsor. Clinical trials are conducted under written study protocols detailing, among other things, the objectives of the clinical trial, subject selection and exclusion criteria, dosing procedures, and the parameters to be used to collect data and to monitor subject safety. Each protocol must be submitted to the FDA as part of the IND, and timely safety reports must be submitted to the FDA and investigators for suspected adverse reactions that are serious and unexpected and other safety-related findings. Clinical trials must be conducted in accordance with applicable statutes, the FDA’s regulations and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and signed by each clinical trial subject or his or her legal representative and must monitor the clinical trial until it is completed. In some instances, additional oversight boards, such as a data safety monitoring board, are required to evaluate interim data and determine whether a study should continue or be modified or terminated.</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 Information about many clinical trials is required to be publicly reported on www.ClinicalTrials.gov or similar databases.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27" w:lineRule="exact"/>
        <w:rPr>
          <w:sz w:val="20"/>
          <w:szCs w:val="20"/>
          <w:color w:val="auto"/>
        </w:rPr>
      </w:pPr>
    </w:p>
    <w:p>
      <w:pPr>
        <w:ind w:left="1080" w:right="220" w:hanging="424"/>
        <w:spacing w:after="0" w:line="26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drug product is initially introduced into healthy human subjects and tested for safety, dosage tolerance, absorption,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metabolism, distribution and excretion and, if possible, to gain an early indication of its effectiveness. In the case of some products for severe or life-threatening diseases, especially when the product may be too inherently toxic to ethically administer to healthy volunteers, the initial human testing may be conducted only in patients having the specific disease.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8"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drug product is evaluated in a limited patient population to identify possible adverse effects and safety risks, to preliminarily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the efficacy of the product for specific targeted diseases and to determine dosage tolerance, optimal dosage and dosing schedule for patients having the specific disease.</w:t>
      </w:r>
    </w:p>
    <w:p>
      <w:pPr>
        <w:spacing w:after="0" w:line="76" w:lineRule="exact"/>
        <w:rPr>
          <w:rFonts w:ascii="Times New Roman" w:cs="Times New Roman" w:eastAsia="Times New Roman" w:hAnsi="Times New Roman"/>
          <w:sz w:val="18"/>
          <w:szCs w:val="18"/>
          <w:color w:val="auto"/>
        </w:rPr>
      </w:pPr>
    </w:p>
    <w:p>
      <w:pPr>
        <w:ind w:left="1080" w:right="280" w:hanging="424"/>
        <w:spacing w:after="0" w:line="254"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drug product is administered to an expanded patient population in adequate and well-controlled clinical trials to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data to statistically confirm the safety and efficacy of the product for potential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may approve a drug product based on the results of a single adequate and well-controlled Phase 3 trial for excellent design and which provided highly reliable and statistically strong evidence of important clinical benefit. The FDA’s decision to approve a drug product using the results of a single adequate and well-controlled Phase 3 trial depends both on the quality and quantity of the evidence and considers trial design, trial endpoints, and statistical methodologies, as well as the availability of other confirmatory evidence or reliance on a previous finding of effectiveness of an approved drug when scientifically and legally permissible.</w:t>
      </w:r>
    </w:p>
    <w:p>
      <w:pPr>
        <w:spacing w:after="0" w:line="19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planned NDA application for SP-102 will not seek approval based on the results of a single adequate and well-controlled Phase 3 trial. The Company initiated Phase 3 CLEAR 2 trial in September 2025 (as described in more detail elsewhere in this prospectus under the section titled “</w:t>
      </w:r>
      <w:r>
        <w:rPr>
          <w:rFonts w:ascii="Times New Roman" w:cs="Times New Roman" w:eastAsia="Times New Roman" w:hAnsi="Times New Roman"/>
          <w:sz w:val="18"/>
          <w:szCs w:val="18"/>
          <w:i w:val="1"/>
          <w:iCs w:val="1"/>
          <w:color w:val="auto"/>
        </w:rPr>
        <w:t>Business — Our Company</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Progress reports detailing the status of drug product development and results of the clinical trials must be submitted at least annually to the FDA, and written IND safety reports must be submitted to the FDA and the investigators for suspected adverse reactions that are serious and unexpected (including increased rate of occurrence of such adverse reactions), findings from other studies that suggest a significant risk in humans exposed to the drug product, or any findings from tests in laboratory animals that suggests a significant risk for human subjects or patients. Phase 1, Phase 2 and Phase 3 clinical trials may not yield positive results, or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product has been associated with unexpected serious harm to study subjects.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development of a new drug product, sponsors are given opportunities to meet with the FDA at certain points. These points may be prior to submission of an IND, at the end of Phase 2, the end of Phase 3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Phase 3 clinical trials or manufacturing process validation and testing and their pre-NDA meeting to discuss the data that they believe will support approval of the new drug product.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product as well as validate a process for commercial manufacturing the drug product in accordance with cGMP requirements. The commercial manufacturing process must be capable of consistently and continuously producing quality batches of the drug product candidate and, among other things, the manufacturer must develop appropriate methods for testing the identity, strength, quality and purity of the final drug product. Additionally, appropriate packaging must be selected and tested and stability studies must be conducted to demonstrate that the drug product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FDA Review and Approval Processes</w:t>
      </w:r>
    </w:p>
    <w:p>
      <w:pPr>
        <w:spacing w:after="0" w:line="121"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The results of product development, preclinical studies and clinical trials for the claimed indications are incorporated into an NDA requesting approval to market the product. The application may include both negative or ambiguous results of preclinical trials as well as positive findings.</w:t>
      </w:r>
    </w:p>
    <w:p>
      <w:pPr>
        <w:spacing w:after="0" w:line="14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proposed labeling and descriptions of the manufacturing process and controls, analytical tests conducted on the chemistry of the drug product, proposed labeling and other relevant information are required to be submitted to the FDA as part of an NDA. The submission of an NDA is subject to the payment of substantial user fees and a waiver of such fees may be obtained under certain limited circumstances.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FDA reviews the NDA to determine, among other things, whether the proposed product is safe and effective for the specified indication(s), and whether the product is being manufactured in accordance with cGMP to assure and preserve the product’s identity, strength, quality and purity. To support marketing approval, the data submitted must be sufficient in quality and quantity to establish the product’s safety and efficacy to the satisfaction of the FDA. Under the Prescription Drug User Fee Act (“PDUFA”) guidelines that are currently in effect, the FDA has a goal of 10 months from the date of “filing” of a standard, original NDA for a new molecular entity to review and act on the submission. This review typically takes 12 months from the date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NDA is submitted to the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accepting an NDA for filing. In this event, the NDA must be resubmitted with the additional information. The resubmitted application also is subject to review before the FDA accepts it for filing.</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NDA is accepted for filing, the FDA reviews the NDA to determine, among other things, whether the proposed product candidate is safe and effective for its intended use, and whether the product candidate is being manufactured in accordance with cGMP requirements.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conducts its own analysis of the clinical trial data, which could result in extensive discussions between the FDA and us during the review process. The review and evaluation of an NDA by the FDA is extensive and time-consuming and may take longer than originally planned to complete, and we may not receive a timely approval, if at all.</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drug product approval process, the FDA also will determine whether a Risk Evaluation and Mitigation Strategy (“REMS”) is necessary to assure the safe use of the drug product. If the FDA concludes a REMS is needed, the sponsor of the NDA must submit a proposed REMS. The FDA will not approve the NDA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Before approving an NDA, the FDA will generally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If the FDA determines that the application, manufacturing process or manufacturing facilities are not acceptable, it will outline the deficiencies in the submission and often will request additional testing or information. Additionally, before approving an NDA, the FDA will typically inspect one or more clinical sites to assure compliance with GCP requirements.</w:t>
      </w:r>
    </w:p>
    <w:p>
      <w:pPr>
        <w:spacing w:after="0" w:line="183"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product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studies, referred to as Phase 4 testing, which involves clinical trials designed to further assess a product’s safety and effectiveness and may require testing and surveillance programs to monitor the safety of approved products that have been commercialized.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administers a number of different programs that enable the agency and sponsors in various ways to expedite the development or agency review of a new drug product. Among these, the FDA has a fast track designation that is intended to expedite or facilitate the process for reviewing new drug products that meet certain criteria. New drug products are eligible for fast track designation if they are intended to treat a serious or life-threatening disease or condition and demonstrate the potential to address unmet medical needs for the disease or condition. As an example of the modified processes available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product designated for priority review in an effort to facilitate the review. The FDA endeavors to review applications with priority review designations within six months of the filing date as compared to ten months for review of other NDAs under its current PDUFA review goals.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will require that a sponsor of a drug product receiving accelerated approval perform additional adequate and well-controlled post-marketing clinical trials. Under the Food and Drug Omnibus Reform Act of 2022 (“FDORA”), the FDA is now permitted to require, as appropriate, that such trials be underway prior to approval or within a specific time period after the date of approval for a product approved under the accelerated approval pathway. FDA has issued draft guidance that proposes criteria it will evaluate to determine if a trial is underway, including whether enrollment in the trial has been initiated. Since the FDORA amendments, the FDA has increased authority for expedited procedures to withdraw approval of a drug or indication approved under accelerated approval if, for example, the confirmatory trial fails to verify the predicted clinical benefit of the product. In addition, the FDA currently requires as a condition for accelerated approval pre-use submission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established a category of drug products referred to as “breakthrough therapies” that may be eligible to receive breakthrough therapy designation. A sponsor may seek the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product if relevant criteria are met. If a product is designated as breakthrough therapy, the FDA will work with the sponsor to expedite the development and review of such drug product.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With passage of the 21st Century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a marketing application for a drug or biological product for a new active ingredient, new indication, new dosage form, new dosing regimen, or new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submit an initial Pediatric Study Plan (“PSP”) within 60 days of an end-of-Phase 2 meeting or as may be agreed between the sponsor and the FDA. The FDA and the sponsor must reach agreement on the PSP. The initial PSP must include an outline of the pediatric study or studies that the sponsor plans to conduct or a justification for not including certain required information, and any request for a deferral of pediatric assessments or a full or partial waiver of the requirement to provide data from pediatric studies along with supporting information. The FDA may grant deferrals for the development and submission of pediatric data or full or partial waivers after the initial submission of a PSP.</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standards is not maintained or if problems occur after the product reaches the market. Later discovery of previously unknown risks or problems with a product may result in labeling changes, restrictions on the product or even complete withdrawal of the product from the market. After approval, most changes to the approved product, such as adding new indications, certain manufacturing changes and additional labeling claims, are subject to further FDA review and approval. Drug product manufacturers and other entities involved in the manufacture and distribution of approved drug products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including, among other things, record-keeping requirements, reporting of adverse experiences or quality issues with the product, providing the FDA with updated safety and efficacy information, satisfaction of post-approval requirements or commitments, product sampling and distribution requirements, tracking and tracing requirements and complying with FDA promotion and advertising requirements. These promotion and advertising requirements include, among other things, standards for direct-to-consumer advertising, prohibitions against promoting drug products for uses, or in patient populations, that are not described in the drug product’s approved labeling, which is known as “off-label use,” rules for conducting industry-sponsored scientific and educational activities, and promotional activities involving the internet. Failure to comply with post-approval requirements can have negative consequences, including adverse publicity, enforcement letters from the FDA, mandated corrective advertising or communications with doctors, and civil or criminal penalties. Although physicians may prescribe legally available drug products for off-label uses, manufacturers may not market or promote such off-label uses. Failure to comply with the applicable U.S. requirements at any time during the product development process, approval process or after approval, may subject an applicant, manufacturer or product to administrative or judicial civil or criminal sanctions and adverse publicity. FDA sanctions could include refusal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Amendments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Section 505 of the FDCA describes three types of NDAs that may be submitted to request marketing authorization for a new drug product, the first being a 505(b)(1) NDA. A 505(b)(1) NDA is an application that contains full reports of investigations of safety and effectiveness. A 505(b)(2) NDA likewise contains full reports of investigations of safety and effectiveness relevant to a product, but where at least some of the information required for approval comes from studies not conducted by or for the applicant, and for which the applicant has not obtained a right of reference. This regulatory pathway enables the applicant to rely, in part, on the FDA’s findings of safety and efficacy for an existing product (the “listed drug”), or published literature, in support of its application. The FDA may also require 505(b)(2) applicants to perform additional studies or measurements to support the change from the listed drug. The FDA may then approve the new product candidate for all or some of the labeled indications for which the listed product has been approved, or for any new indication sought by the 505(b)(2) applicant.</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Section 505(j) establishes an abbreviated approval process for generic versions of approved drug products through the submission of an abbreviated new drug product application (“ANDA”). An ANDA generally provides for marketing of a drug product that has the same active ingredients in the same strengths and dosage form, and with the same labeling and route of administration as the listed drug product and has been shown to be bioequivalent to the reference listed drug product. ANDA applicants are required to conduct bioequivalence testing to confirm chemical and therapeutic equivalence to the branded reference drug product. Generic versions of drug products can often, and sometimes must, be substituted by pharmacists under prescriptions written for the branded reference drug product.</w:t>
      </w:r>
    </w:p>
    <w:p>
      <w:pPr>
        <w:spacing w:after="0" w:line="18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a 505(b)</w:t>
      </w:r>
    </w:p>
    <w:p>
      <w:pPr>
        <w:spacing w:after="0" w:line="2" w:lineRule="exact"/>
        <w:rPr>
          <w:sz w:val="20"/>
          <w:szCs w:val="20"/>
          <w:color w:val="auto"/>
        </w:rPr>
      </w:pPr>
    </w:p>
    <w:p>
      <w:pPr>
        <w:ind w:left="120" w:right="20" w:hanging="4"/>
        <w:spacing w:after="0" w:line="251" w:lineRule="auto"/>
        <w:tabs>
          <w:tab w:leader="none" w:pos="3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an applicant must certify to the FDA at least one of the following (1) no patent information on the drug product that is relied upon by the ANDA or 505(b)(2) NDA (known as the reference drug product) has been submitted to the FDA; (2) such patent has expired; (3) the date on which such patent expires; or (4) such patent is invalid, unenforceable, or will not be infringed by the manufacture, use or sale of the drug product for which the ANDA or 505(b)(2) NDA is submitted. This last certification is known as a Paragraph IV Certification. If the NDA holder for the reference drug product or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30-month stay. Thus, approval of an ANDA or 505(b)(2) NDA could be delayed for a significant period of time depending on the patent certification the applicant makes and the reference drug product sponsor’s or patent owner’s decision to initiate patent litigation.</w:t>
      </w:r>
    </w:p>
    <w:p>
      <w:pPr>
        <w:spacing w:after="0" w:line="19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to, and distinct from the patent protection provisions, the Hatch-Waxman Amendments establish periods of regulatory exclusivity for certain approved drug products, during which the FDA cannot approve (or in some cases accept) an ANDA or 505(b)(2) application that relies on the branded reference drug product. For example, the holder of an NDA may obtain five years of exclusivity upon approval of a new drug product containing a new chemical entity that has not been previously approved by the FDA. The Hatch-Waxman Amendments also provide three years of marketing exclusivity to the holder of an NDA (including a 505(b)(2)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NDA)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This three-year exclusivity period protects against FDA approval of ANDAs and 505(b)(2) NDAs for drug products that include the innovation that required the new clinical data, but generally allows the approval for non-protected characteristics and labeling.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Payor Coverage, Pricing and Reimbursement</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sales of a product will depend, in part, on the extent to which third-party payors provide coverage and establish adequate reimbursement levels for the product. Third-party payors include government payor programs at the federal and state levels, including Medicare and Medicaid, managed care providers, private health insurers and other organizations. In the United States, the principal decisions about reimbursement for new drug products are often made by the Centers for Medicare and Medicaid Services (CMS), an agency within the Department of Health and Human Services (HHS). CMS decides whether and to what extent a new drug product will be covered and reimbursed under Medicare, and private payors tend to follow CMS to a substantial degree. However, no uniform policy of coverage and reimbursement for products exists among third-party payors. The process for determining whether a payor will provide coverage for a product may be separate from the process for setting the price or reimbursement rate that the payor will pay for the product. Third-party payors may limit coverage to specific products on an approved list, or formulary, which might not include all of the FDA-approved products for a particular indication, and which can change over time.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or other comparable regulatory approvals. Additionally, companies may also need to provide discounts to purchasers, private health plans or government healthcare programs, in order for the company’s products to be considered as a formulary option. Nonetheless, product candidates may not be considered by individual payors to be medically necessary or cost-effective. A payor’s decision to provide coverage for a product does not imply that a preferred formulary position or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Adequate third-party reimbursement may not be available to enable us to maintain price levels sufficient to realize an appropriate return on our investment in product development.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 products. Adoption of such controls and measures, and tightening of restrictive policies in jurisdictions with existing controls and measures, could limit payments for pharmaceuticals such as our products and the product candidates that we are developing and could adversely affect our net revenue and results. See the discussion below under “</w:t>
      </w:r>
      <w:r>
        <w:rPr>
          <w:rFonts w:ascii="Times New Roman" w:cs="Times New Roman" w:eastAsia="Times New Roman" w:hAnsi="Times New Roman"/>
          <w:sz w:val="18"/>
          <w:szCs w:val="18"/>
          <w:i w:val="1"/>
          <w:iCs w:val="1"/>
          <w:color w:val="auto"/>
        </w:rPr>
        <w:t>U.S. Healthcare Reform</w:t>
      </w:r>
      <w:r>
        <w:rPr>
          <w:rFonts w:ascii="Times New Roman" w:cs="Times New Roman" w:eastAsia="Times New Roman" w:hAnsi="Times New Roman"/>
          <w:sz w:val="18"/>
          <w:szCs w:val="18"/>
          <w:color w:val="auto"/>
        </w:rPr>
        <w:t>”, and regarding the Inflation Reduction Act for further information.</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European Economic Area (“EEA”) (which is currently comprised of the 27 Member States of the EU plus Norway, Iceland and Liechtenstein), governments influence the price of pharmaceutical products through their pricing and reimbursement rules and control of national healthcare systems that fund a large part of the cost of those products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consumers. Some countries in the EEA operate positive and negative list systems under which some medicinal products are selected for coverage (positive list) and others are explicitly listed as excluded from reimbursement (negative list). To obtain reimbursement or pricing approval, some of these EEA countries may require the completion of clinical trials that compare the cost-effectiveness of a particular product to currently available therapies. Other EEA countries allow companies to fix their own prices for medicinal products, but monitor and control company profits. The downward pressure on healthcare costs in general, particularly prescription drug products,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products will allow favorable reimbursement and pricing arrangements for any of our products.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there have been, and continue to be, proposals by the federal government, state governments, regulators and third-party payors to control or manage the increased costs of healthcare and, more generally, to reform the U.S. healthcare system. The pharmaceutical industry has been a particular focus of these efforts and has been significantly affected by major legislative initiatives. For example, in March 2010, the Affordable Care Act (the “ACA”) was enacted, which is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and which substantially changes the way healthcare is financed by both governmental and private insurers, and significantly impacts the U.S. pharmaceutical industry. The ACA, among other things, (1) subjected therapeutic biologics to potential competition by lower-cost biosimilars by creating a licensure framework for follow-on biologic products, (2) prescribed a new methodology by which rebates owed by manufacturers under the Medicaid Drug Rebate Program are calculated for drug products that are inhaled, infused, instilled, implanted or injected, (3) increased the minimum Medicaid rebates owed by manufacturers under the Medicaid Drug Rebate Program and extended the rebate program to individuals enrolled in Medicaid managed care organizations, (4) established annual nondeductible fees on manufacturers of certain branded prescription drug products, apportioned among these entities according to their market share in certain government healthcare programs, (5) established a new Medicare Part D coverage gap discount program, in which manufacturers must agree to offer point-of-sale discounts off negotiated prices of applicable brand drug products to eligible beneficiaries during their coverage gap period, as a condition for the manufacturer’s outpatient drug products to be covered under Medicare Part D, (6)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(7) expanded the entities eligible for discounts under the 340B Public Health Service Act program, (8) created a new Patient-Centered Outcomes Research Institute to oversee, identify priorities in, and conduct comparative clinical effectiveness research, along with funding for such research, and (9) established a Center for Medicare Innovation at the CMS to test innovative payment and service delivery models to lower Medicare and Medicaid spending, potentially including prescription drug product spending.</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Since its enactment, there have been judicial, Congressional and Administrative challenges to certain aspects of the ACA, and we expect there will be additional challenges and amendments to the ACA in the future. For example, legislation affecting the implementation of certain taxes under the ACA has been signed into law. The TCJA included a provision that repealed, effective January 1, 2019, the tax-based shared responsibility payment imposed by the ACA on certain individuals who fail to maintain qualifying health coverage for all or part of a year that is commonly referred to as the “individual mandate”. Further, the Bipartisan Budget Act of 2018 (the “BBA”), among other things, amended the ACA, effective January 1, 2019, to increase from 50% to 70% the point-of-sale discount that is owned by pharmaceutical manufacturers who participate in Medicare Part D and to close the coverage gap in most Medicare drug plans, commonly referred to as the “donut hole”. 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40"/>
          </w:cols>
          <w:pgMar w:left="320" w:top="455" w:right="4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June 17, 2021 the U.S. Supreme Court dismissed a challenge on procedural grounds that argued the ACA is unconstitutional in its entirety because the “individual mandate” was repealed by Congress. Thus, the ACA will remain in effect in its current form. It is unclear how additional healthcare reform measures of the Trump or subsequent administrations or other efforts, if any, to modify or invalidate the ACA or its implementing regulations, or portions thereof, will impact our business. For example,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 Any health care reform measures will likely take time to unfold, and could have an impact on coverage and reimbursement for healthcare items and services. We cannot predict the ultimate content, timing or effect of any healthcare reform legislation or other policy or the impact of potential legislation or other policy on us.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legislative and administrative changes have been proposed and adopted in the United States since the ACA was enacted to reduce healthcare expenditures. For example, the Budget Control Act of 2011, among other things, in connection with subsequent legislation, reduced Medicare payments to providers, on average, by 2% per fiscal year. These reductions went into effect on April 1, 2013 and, due to subsequent legislative amendments to the statute, including the BBA, will remain in effect through 2032.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impact the ability of relevant agencies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resulted in several Congressional inquiries and proposed and enacted federal and state legislation designed to, among other things, bring more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transparency to product pricing, review the relationship between pricing and manufacturer patient programs, and reform government program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reimbursement methodologies for drug products. On August 16, 2022, former President Biden signed into law the Inflation Reduction Act of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among other things, contains two specific provisions affecting pricing for drug products and biologics. The first provision allows for CMS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negotiate prices for certain single-source drug products and biologics reimbursed under Medicare Part B and Part D, beginning with 10 high-cost drug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products paid for by Medicare Part D starting in 2026, followed by 15 Part D drug products in 2027, 15 Part B or Part D drug products in 2028, and 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 B or Part D drug products in 2029 and beyond. The legislation subjects drug product manufacturers to civil monetary penalties and a potential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excise tax for failing to comply with the legislation by offering a price that is not equal to or less than the negotiated “maximum fair price” under the law</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for taking price increases that exceed inflation. The legislation also caps Medicare beneficiaries’ annual out-of-pocket drug product expenses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 The second provision imposes a requirement that pharma manufacturers provide a rebate to Medicare, if the manufacturer increases price at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rate higher than the measured inflation rate. Medicaid has had a rebate program for several years, but Medicare did not. The intent is to limit price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increases. The new rebate applies to drug products covered by Medicare under Part B or Part D. Various industry stakeholders, including pharmaceutical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have lawsuits pending against the federal government asserting that the price negotiation provisions of the IRA are unconstitutional. HHS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has generally won the substantive disputes in these cases, but certain of these cases continue to be appealed. The current Administration has also issued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statements and other executive orders about its commitment to lowering the cost of prescription drugs and has sought additional voluntary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to reduce drug pricing from certain pharmaceutical manufacturers. At the state level, legislatures are increasingly passing legislation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implementing regulations designed to control pharmaceutical and biological product pricing, including price or patient reimbursement constraints,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discounts, restrictions on certain product access and marketing cost disclosure and transparency measures. In some cases, states appear interested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 policy designed to encourage drug</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product importation from other countries and bulk purchasing. In January 2024, the FDA authorized Florida’s Agency for Health Care Administration’s drug importation program, which is the first step toward Florida facilitating importation of certain prescription drugs from Canada. Authorization of other state programs may follow as other states have submitted importation program proposals. The Trump Administration has publicly supported such state-directed importation programs, and FDA has taken steps to facilitate such states in initiating such programs. Furthermore, there has been increased interest by third-party payors and governmental authorities in reference pricing systems and publication of discounts and list prices.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the Centers for Medicare and Medicaid Services, other divisions of the United States Department of Health and Human Services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Office of Inspector General), the United States Department of Justice and individual United States Attorney offices within the Department of Justice, and state and local governments. For example, various activities, including but not limited to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any person, including a pharmaceutical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government can establish a violation of the Anti-Kickback Statute without proving that a person or entity had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federal False Claims Act imposes liability on any person or entity that, among other things, knowingly presents, or causes to be presented, a false or fraudulent claim for payment of government funds, or knowingly makes, uses, or causes to be made or used a false statement material to a false or fraudulent claim, or knowingly conceals or knowingly and improperly avoids, or decreases an obligation to pay money to the government. The qui tam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Some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(“AMP”), improper promotion of off-label uses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uses not expressly approved by the FDA in a drug product’s label), and allegations as to misrepresentations with respect to the services rendered. Our activities relating to the reporting of discount and rebate information and other information affecting federal, state and 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w:t>
      </w:r>
    </w:p>
    <w:p>
      <w:pPr>
        <w:spacing w:after="0" w:line="18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healthcare fraud provisions under the U.S. federal Health Insurance Portability and Accountability Act of 1996 and its implementing regulations (“HIPAA”) impose criminal liability for, among other things, knowingly and willfully executing, or attempting to execute, a scheme to defraud any health care benefit program, including private third-party payors, or falsifying or covering up a material fact or making any materially false or fraudulent statement in connection with the delivery of or payment for health care benefits, items or services.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may be subject to, or our marketing activities may be limited by, data privacy and security law and regulation promulgated by both the U.S. federal government and the U.S. states in which we conduct our business. For example, under HIPAA, the U.S. Department of Health and Human Services imposes upon “covered entities” (broadly, healthcare providers, health plans and healthcare clearinghouses) and their respective “business associates” (individuals or entities that create, receive, maintain or transmit protected health information on behalf of a covered entity) the HIPAA Privacy and Security Rules which include privacy obligations; requirements to implement appropriate administrative, physical and technical safeguards to ensure the confidentiality, integrity, and security of electronic protected health information; and breach response notification obligations. Although we are neither a covered entity nor business associate, and therefore not subject to the HIPAA Privacy and Security Rules, we must monitor developments with these requirements for changing obligations that may apply to us. The FTC also requires companies to take appropriate steps to keep consumers’ personal information secure and to make accurate statements regarding how they secure personal information under their custody or control, such as in a privacy notice. The FTC also expects a company’s data security measures to be reasonable and appropriate in light of the sensitivity and volume of personal information it holds, the size and complexity of its business, and the cost of available tools to improve data security and reduce vulnerabilities. Individually identifiable health information, which we process, is considered sensitive data that merits stronger safeguards. Violations of the foregoing FTC requirements may constitute unfair or deceptive acts or practices under Section 5(a) of the Federal Trade Commission Act (the “FTC Act”). While we</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do not intend to engage in unfair or deceptive acts or practices, the FTC has the power to bring enforcement actions based on the FTC’s interpretation of public privacy statements. Further, events that we cannot fully control, such as data breaches, may also result in civil penalties, FTC enforcement or enforcement by U.S. state attorneys general or other regulators. Various U.S. states have implemented privacy laws and regulations that regulate the use and disclosure of health information and other personal information. For example, the CCPA, established a privacy framework for covered businesses by, among other items, expanding the definition of personal information, establishing new data privacy rights for consumers who are California residents, imposing rules on the collection of personal information from minors, and creating a statutory damages framework for violations of the CCPA, including for failure to implement reasonable security procedures and practices to prevent data breaches. Penalties for violations of the CCPA include civil penalties and may result in related legal claims. The CPRA, most provisions of which became operative on January 1, 2023, introduced significant amendments to the CCPA and established and funded a dedicated California privacy regulator, the California Privacy Protection Agency. Several other states have implemented similar consumer privacy laws that took effect in the past year or will take effect in the near future. Further, Washington’s My Health My Data Act, taking effect July 1, 2024, imposes requirements specific to consumer health data. The foregoing U.S. state privacy laws impose many similar obligations as the CCPA on our processing of personal information. Other U.S. states are considering similar privacy legislation, and industry organizations regularly adopt and advocate for new standards in these areas. The uncertainty, ambiguity, complexity, and potential inconsistency surrounding the implementation and interpretation of the CCPA and other enacted or forthcoming U.S. state privacy laws exemplify the vulnerability of our business to the evolving regulatory environment related to the privacy, security and confidentiality of personal information and protected health information. We may be subject to fines, penalties, or private actions in the event of non-compliance with such laws.</w:t>
      </w:r>
    </w:p>
    <w:p>
      <w:pPr>
        <w:spacing w:after="0" w:line="19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activities outside of the U.S. implicate local, state, provincial, and national data protection standards, impose additional compliance requirements and generate additional risks of enforcement for non-compliance. Such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remediate issues caused by such breaches. Compliance with these laws is challenging, constantly evolving, time consuming, and requires a flexible privacy framework and substantial resources. Compliance efforts will likely be an increasing and substantial cost in the future.</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 products, devices, biologics and medical supplies for which payment is available under Medicare, Medicaid or the Children’s Health Insurance Program, with specific exceptions, to annually report to CMS information related to payments or other transfers of value made to physicians and teaching hospitals, as well as ownership and investment interests held by physicians and their immediate family members. In addition to this federal requirement, a number of individual states and foreign jurisdictions require detailed reporting and often public disclosures concerning transfers of value to physicians, other health care providers and family members. Effective January 1, 2022, these reporting obligations were extended to include transfers of value made to certain non-physician providers such as physician assistants and nurse practitioners.</w:t>
      </w:r>
    </w:p>
    <w:p>
      <w:pPr>
        <w:spacing w:after="0" w:line="18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Compliance with such requirements may require investment in infrastructure to ensure that tracking is performed properly, and some of these laws result in the public disclosure of various types of payments and relationships.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Several states have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may affect our sales, marketing and other promotional activities by imposing administrative burdens on us. If we fail to track and report as required by these laws or otherwise comply with these laws, we could be subject to the penalty provisions of the pertinent state and federal authorities.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Where our activities involve foreign government officials, they may also potentially be subject to the FCPA. If we seek to have a product paid for with federal funds under the Medicaid programs or Medicare Part B, various obligations, including government price reporting, are required under the Medicaid rebate provisions of the Omnibus Budget Reconciliation Act of 1990 and the Veterans Health Care Act of 1992, each as amended, which generally require products to be offered at substantial rebates/discounts to such programs and certain purchasers. Government price reporting may also be required with respect to average sales price, which serves as the basis of reimbursement under Medicare Part B.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(“NIH”)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integrity oversight and reporting obligations to resolve allegations of non-compliance,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HCPs.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Marketing Exclusivity</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Hatch-Waxman Exclusivity</w:t>
      </w:r>
      <w:r>
        <w:rPr>
          <w:rFonts w:ascii="Times New Roman" w:cs="Times New Roman" w:eastAsia="Times New Roman" w:hAnsi="Times New Roman"/>
          <w:sz w:val="18"/>
          <w:szCs w:val="18"/>
          <w:color w:val="auto"/>
        </w:rPr>
        <w:t>. Market exclusivity provisions under the FDCA can also delay the submission or the approval of certain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other companies seeking to reference another company’s NDA. If the new drug product is a new chemical entity subject to an NDA, the FDCA provides a five-year period of non-patent marketing exclusivity within the United States to the first applicant to obtain approval of an NDA for a new chemical entity. A drug product is a new chemical entity if the FDA has not previously approved any other new drug product containing the same active moiety, which is the molecule or ion responsible for the action of the drug substance. This definition is currently under FDA review. During the exclusivity period, the FDA may not accept for review an ANDA or a Section 505(b)(2) NDA submitted by another company for another version of such drug product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as new indications, dosages or strengths of an existing drug product. This three-year exclusivity covers only the conditions associated with the new clinical investigations and does not prohibit the FDA from approving ANDAs for drug products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1"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Pediatric Exclusivity</w:t>
      </w:r>
      <w:r>
        <w:rPr>
          <w:rFonts w:ascii="Times New Roman" w:cs="Times New Roman" w:eastAsia="Times New Roman" w:hAnsi="Times New Roman"/>
          <w:sz w:val="18"/>
          <w:szCs w:val="18"/>
          <w:color w:val="auto"/>
        </w:rPr>
        <w:t>. Pediatric exclusivity is another type of regulatory market exclusivity in the United States. Pediatric exclusivity, if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adds six months to any existing exclusivity period or patent term. This six-month exclusivity may be granted by the FDA based on the completion of a pediatric clinical trial in accordance with provisions of the FDCA.</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Europe/Rest of World Government Regulation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among other things, clinical trials, pricing and reimbursement, anti-bribery, advertising and promotion, data privacy and security and any commercial sales and distribution of our future products.</w:t>
      </w:r>
    </w:p>
    <w:p>
      <w:pPr>
        <w:spacing w:after="0" w:line="17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(“CTA”) much like the IND prior to the commencement of human clinical trials.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EEA, for example, a CTA must be submitted to each country’s national health authority and an independent ethics committee, much like the FDA and IRB, respectively. Once the CTA is approved in accordance with the EU Clinical Trials Directive 2001/20/EC (the “Clinical Trials Directive”) and the related national implementing provisions of the relevant individual EEA country’s requirements, the clinical trial described in that CTA may proceed.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April 2014, the new Clinical Trials Regulation, (EU) No 536/2014 (the “Clinical Trials Regulation”) was adopted. The Clinical Trials Regulation entered into force on January 31, 2022. The Clinical Trials Regulation is directly applicable in all the EEA countries, repealing the prior Clinical Trials Directive. The new Clinical Trials Regulation allows a sponsor to start and conduct a clinical trial in accordance with the Clinical Trials Directive during a transitional period of one year after the application date, i.e. January 31, 2022. The transition period for the trials ongoing at the moment of applicability will be a maximum of three years after the date of application of 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new Clinical Trials Regulation is intended to simplify and streamline the approval of clinical trials in the EEA.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into two parts.</w:t>
      </w:r>
    </w:p>
    <w:p>
      <w:pPr>
        <w:spacing w:after="0" w:line="19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EEA, such as countries in Eastern Europe, Latin America or Asia, the requirements governing the conduct of clinical trials vary from country to country. Internationally, clinical trials are generally required to be conducted in accordance with GCP, applicable regulatory requirements of each jurisdiction and the medical ethics principles that have their origins in the Declaration of Helsinki.</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the EEA, medicinal products can be commercialized only after obtaining a Marketing Authorization (“MA”). There are several procedures for requesting marketing authorization which can be more efficient than applying for authorization on a country-by-country basis. There is a “centralized” procedure allowing submission of a single marketing authorization application to the EMA. If the EMA issues a positive opinion, the European Commission will grant a centralized marketing authorization that is valid in all EEA countries.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is also a “decentralized” procedure allowing companies to file identical applications to several EEA countries simultaneously for product candidates that have not yet been authorized in any EEA country and a “mutual recognition” procedure allowing companies that have a product already authorized in one EEA country to apply for that authorization to be recognized by the competent authorities in other EEA countries. Under the “decentralized” procedure, an identical dossier is submitted to the competent authorities of each of the EEA countries in which the MA is sought, one of which is selected by the applicant as the Reference Member State (“RMS”). If the RMS proposes to authorize the product, and the other EEA countries do not raise objections, the product is authorized in all the EEA countries where the authorization was sought. Before granting the MA, the EMA or the competent authorities of the EEA countries make an assessment of the risk-benefit balance of the product on the basis of scientific criteria concerning its quality, safety and efficacy.</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procedures to obtain price approvals, coverage and reimbursement can take considerable time after the receipt of a MA. Many EEA countries periodically review their reimbursement of medicinal products, which could have an adverse impact on reimbursement status. In addition,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EEA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countries, including those representing the larger markets. The HTA process, which is currently governed by national laws in each EEA country,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 although the HTA Regulation, which aims to harmonize the clinical benefit assessment of HTA across the EEA, will apply from January 12, 2025. If we are unable to maintain favorable pricing and reimbursement status in EEA countries that represent significant markets, our anticipated revenue from and growth prospects for our products in the EEA could be negatively affected.</w:t>
      </w:r>
    </w:p>
    <w:p>
      <w:pPr>
        <w:spacing w:after="0" w:line="19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Outside the United States, interactions between pharmaceutical companies and physicians are also governed by strict laws, such as national anti-bribery laws of EEA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5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the EEA, the advertising and promotion of our products are subject to laws governing promotion of medicinal products, interactions with physicians, misleading and comparative advertising and unfair commercial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EEA. Other applicable laws at the EEA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EEA could be penalized by administrative measures, fines and imprisonment.</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regulations in the United States, we may be subject to, or our marketing activities may be limited by, data privacy and security regulations in the EEA, Switzerland, or the United Kingdom (“UK”), where the legislative and regulatory landscape continues to evolve. There has been increased regulator attention to privacy and data security issues that could potentially affect our business, including through legislation such as the EEA GDPR (as defined below) and UK GDPR, which each imposes strict obligations on the processing of personal data, including the transfer of personal data from the EEA, Switzerland, or UK to third countries that the European Commission has determined does not ensure an adequate level of protection, such as the United States. If we violate the GDPR, we may face significant penalties of up to EUR 10,000,000 or 2% of our total worldwide annual turnover, or for more serious violations, up to EUR 20,000,000 or 4% of our total worldwide annual turnover.</w:t>
      </w:r>
    </w:p>
    <w:p>
      <w:pPr>
        <w:spacing w:after="0" w:line="18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GDPR and other EEA and UK data privacy and security regulations generally restrict the transfer of personal data from the EEA, UK and Switzerland, to the United States and certain other third countries unless the parties to the transfer have implemented specific safeguards to protect the transferred personal data. One of the primary safeguards on which companies may rely to import or export personal data from had been the EU-U.S. Privacy Shield and Swiss-U.S. Privacy Shield frameworks administered by the U.S. Department of Commerce. However, the EU-U.S. Privacy Shield was invalidated in July 2020 by the Court of Justice of the European Union (the “CJEU”) in a case known as “Schrems II.” Following this decision, the Swiss Federal Data Protection and Information Commissioner (the “FDPIC”) announced that the Swiss-U.S. Privacy Shield does not provide adequate safeguards for the purposes of personal data transfers from Switzerland to third countries that are deemed as not providing adequate protection, including the United States. While the FDPIC does not have authority to invalidate the Swiss-U.S. Privacy Shield regime, the FDPIC’s announcement casts doubt on the viability of the Swiss-U.S. Privacy Shield as a compliance mechanism for Swiss-U.S. data transfers.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Schrems II and subsequent draft guidance from the European Data Protection Board (the “EDPB”) would require the parties to that transfer to implement certain supplementary technical, organizational and/or contractual measures to rely on the Standard Contractual Clauses as a lawful “transfer mechanism.” However, the draft guidance from the EDPB on such supplementary technical, organizational and/or contractual measures appears to conclude that any combination of such measures may not be sufficient to allow effective reliance on the Standard Contractual Clauses in the context of transfers of personal data “in the clear” to recipients in countries where the power granted to public authorities to access the transferred data goes beyond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that which is “necessary and proportionate in a democratic society”—which may, following the CJEU’s conclusions in Schrems II on relevant powers of United States public authorities and commentary in draft EDPB guidance, include the United States in certain circumstances (e.g., where Section 702 of the U.S. Foreign Intelligence Surveillance Act applies). Further, the UK Information Commissioner’s Office has provided for separate international data transfer mechanisms for restricted transfers of data from the UK: an international data transfer agreement (the UK equivalent of the EU Standard Contractual Clauses) (“IDTA”) and an international data transfer addendum (which amends the EU Standard Contractual Clauses for purposes of international data transfers from the UK to countries without an essentially equivalent data protection framework) (the “Addendum”). Both the IDTA and the Addendum came into force in March 2022.</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or criminal prosecution.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2025, we have 10 full time employees, including three employees who have M.D.s or Ph.D.s As a majority owned subsidiary of Scilex, we have been dependent upon the services provided by Scilex’s employees, including the equivalent of three Scilex employees and 12 Scilex contractors providing full time services to us as of December 31, 2025. We expect that those employees of Scilex will devote a portion of their time to our business and affairs on an ad hoc basis as necessary to manage and conduct our operations. As of December 31, 2025, Scilex has 28 full-time employees, including three employees who have M.D.s or Ph.D.s. Within that workforce, four employees were primarily engaged in research and development, seven were primarily engaged in sales and marketing and 17 were primarily engaged in general management and administration. None of Scilex’s employees are represented by labor unions or covered by collective bargaining agreements.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we entered into the Transition Services Agreement with Scilex, pursuant to which we can utilize certain employees and other service providers of Scilex to operate our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that certain senior secured promissory note issued by Scilex to Oramed Pharmaceuticals Inc. (“Oramed”) in September 2023 in the principal amount of $101.9 million (the “Scilex-Oramed Note”) have been paid in full in cash, and we will reimburse Scilex for its out of pocket fees, costs or expenses. During the transition period, we plan to engage and increase full time employees to support our research and development, general administrative, manufacturing, regulatory and commercial functions as we enter the final stage of development and pre-launch commercialization planning. The term of the Transition Services Agreement is three years following the closing of the Business Combination, which we believe is sufficient time for us to develop our commercial infrastructure and other business functions.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 and Properties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currently maintain our principal executive office in approximately 3,000 square feet of space provided at no cost by Scilex at Scilex’s principal executive office, which is currently located in Palo Alto, California, and consists of approximately 12,500 square feet of leased office space. The lease term expires in September 2027. We believe our facilities are adequate to meet our current needs. As we expand, we believe appropriate additional or alternative space will be available on commercially reasonable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including those that may arise in the ordinary course of business. We are not presently a party to any legal proceedings that, in the opinion of management, would have a material adverse effect on our business. Regardless of outcome, such proceedings or claims can have an adverse impact on us because of defense and settlement costs, diversion of resources, and other factors, and there can be no assurances that favorable outcomes will be obtained.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Corporate History</w:t>
      </w:r>
    </w:p>
    <w:p>
      <w:pPr>
        <w:spacing w:after="0" w:line="12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We were incorporated under the name “Denali Capital Acquisition Corp.” on January 5, 2022 as a Cayman Islands exempted company for the purpose of effecting a merger, share exchange, asset acquisition, share purchase, reorganization or similar business combination with one or more businesses or entities. On September 22, 2025, in connection with the Business Combination, we changed our jurisdiction of incorporation by deregistering as a Cayman Islands exempted company and continuing and domesticating as a corporation incorporated under the laws of the State of Delaware. On September 22, 2025, we changed our name to “Semnur Pharmaceuticals, Inc.”</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w:t>
      </w:r>
    </w:p>
    <w:p>
      <w:pPr>
        <w:spacing w:after="0" w:line="180"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Additionally, we are currently a “smaller reporting company” as defined in Item 10(f)(1) of Regulation S-K. Smaller reporting companies may take advantage of certain reduced disclosure obligations, including, among other things, providing only two years of audited financial statements.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website address is www.semnurpharma.com. We do not incorporate the information on, or accessible through, our website into this prospectus, and you should not consider any information on, or accessible through, our website as part of prospectus. We have included our website address in this prospectus solely as an inactive textual 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Denali Executive Officers and Director Compensation Prior to Completion of the Business Combination</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Prior to the closing of the Business Combination, none of Denali’s executive officers or directors received any cash compensation for services rendered to Denali.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Semnur and Current Executive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the Company and align executive incentives with the long-term interests of our stockholders. This section provides an overview of the material components of our executive compensation programs, including a narrative description of the material factors necessary to understand the information disclosed in the summary compensation table below. The following is a discussion and analysis of the material components of the compensation arrangements of our named executive officers in 2025.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9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Board or the Compensation Committee, with input from our Executive Chairperson and Chief Executive Officer, historically determined the compensation for our named executive officers. Our named executive officers for the year ended December 31, 2025, were Jaisim Shah, our former Chief Executive Officer and President, Henry Ji, our current Chief Executive Officer, President and Executive Chairperson, and Stephen Ma, our Chief Financial Officer, Chief Operating Officer and Senior Vice President. Mr. Shah resigned from his positions as Chief Executive Officer and President, effective March 13, 2026.</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compensation paid or accrued to our and Legacy Semnur’s named executive officers for the fiscal years ended December 31, 2025 and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5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4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660" w:type="dxa"/>
            <w:vAlign w:val="bottom"/>
          </w:tcPr>
          <w:p>
            <w:pPr>
              <w:jc w:val="right"/>
              <w:ind w:right="1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Jaisim Shah</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427,083</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427,083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Chief Executive Officer, President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Director</w:t>
            </w:r>
          </w:p>
        </w:tc>
        <w:tc>
          <w:tcPr>
            <w:tcW w:w="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240,865</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00"/>
              <w:spacing w:after="0" w:line="236" w:lineRule="exact"/>
              <w:rPr>
                <w:sz w:val="20"/>
                <w:szCs w:val="20"/>
                <w:color w:val="auto"/>
              </w:rPr>
            </w:pPr>
            <w:r>
              <w:rPr>
                <w:rFonts w:ascii="Times New Roman" w:cs="Times New Roman" w:eastAsia="Times New Roman" w:hAnsi="Times New Roman"/>
                <w:sz w:val="18"/>
                <w:szCs w:val="18"/>
                <w:color w:val="auto"/>
              </w:rPr>
              <w:t>10,223</w:t>
            </w:r>
            <w:r>
              <w:rPr>
                <w:rFonts w:ascii="Times New Roman" w:cs="Times New Roman" w:eastAsia="Times New Roman" w:hAnsi="Times New Roman"/>
                <w:sz w:val="26"/>
                <w:szCs w:val="26"/>
                <w:color w:val="auto"/>
                <w:vertAlign w:val="superscript"/>
              </w:rPr>
              <w:t>(1)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251,088</w:t>
            </w:r>
          </w:p>
        </w:tc>
        <w:tc>
          <w:tcPr>
            <w:tcW w:w="0" w:type="dxa"/>
            <w:vAlign w:val="bottom"/>
          </w:tcPr>
          <w:p>
            <w:pPr>
              <w:spacing w:after="0"/>
              <w:rPr>
                <w:sz w:val="1"/>
                <w:szCs w:val="1"/>
                <w:color w:val="auto"/>
              </w:rPr>
            </w:pPr>
          </w:p>
        </w:tc>
      </w:tr>
      <w:tr>
        <w:trPr>
          <w:trHeight w:val="196"/>
        </w:trPr>
        <w:tc>
          <w:tcPr>
            <w:tcW w:w="33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Henry Ji, Ph.D.</w:t>
            </w:r>
          </w:p>
        </w:tc>
        <w:tc>
          <w:tcPr>
            <w:tcW w:w="780" w:type="dxa"/>
            <w:vAlign w:val="bottom"/>
            <w:gridSpan w:val="3"/>
          </w:tcPr>
          <w:p>
            <w:pPr>
              <w:ind w:left="22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312,871</w:t>
            </w:r>
          </w:p>
        </w:tc>
        <w:tc>
          <w:tcPr>
            <w:tcW w:w="6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6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312,871</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Chairperson</w:t>
            </w: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17,308</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620"/>
              <w:spacing w:after="0" w:line="236" w:lineRule="exact"/>
              <w:rPr>
                <w:sz w:val="20"/>
                <w:szCs w:val="20"/>
                <w:color w:val="auto"/>
              </w:rPr>
            </w:pPr>
            <w:r>
              <w:rPr>
                <w:rFonts w:ascii="Times New Roman" w:cs="Times New Roman" w:eastAsia="Times New Roman" w:hAnsi="Times New Roman"/>
                <w:sz w:val="18"/>
                <w:szCs w:val="18"/>
                <w:color w:val="auto"/>
              </w:rPr>
              <w:t>996</w:t>
            </w:r>
            <w:r>
              <w:rPr>
                <w:rFonts w:ascii="Times New Roman" w:cs="Times New Roman" w:eastAsia="Times New Roman" w:hAnsi="Times New Roman"/>
                <w:sz w:val="26"/>
                <w:szCs w:val="26"/>
                <w:color w:val="auto"/>
                <w:vertAlign w:val="superscript"/>
              </w:rPr>
              <w:t>(1)</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18,304</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Stephen Ma</w:t>
            </w:r>
          </w:p>
        </w:tc>
        <w:tc>
          <w:tcPr>
            <w:tcW w:w="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151,494</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151,494</w:t>
            </w: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Chief Financial Officer, Chief Operating</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Senior Vice President and</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7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128,308</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200"/>
              <w:spacing w:after="0" w:line="236" w:lineRule="exact"/>
              <w:rPr>
                <w:sz w:val="20"/>
                <w:szCs w:val="20"/>
                <w:color w:val="auto"/>
              </w:rPr>
            </w:pPr>
            <w:r>
              <w:rPr>
                <w:rFonts w:ascii="Times New Roman" w:cs="Times New Roman" w:eastAsia="Times New Roman" w:hAnsi="Times New Roman"/>
                <w:sz w:val="18"/>
                <w:szCs w:val="18"/>
                <w:color w:val="auto"/>
              </w:rPr>
              <w:t>8,884</w:t>
            </w:r>
            <w:r>
              <w:rPr>
                <w:rFonts w:ascii="Times New Roman" w:cs="Times New Roman" w:eastAsia="Times New Roman" w:hAnsi="Times New Roman"/>
                <w:sz w:val="26"/>
                <w:szCs w:val="26"/>
                <w:color w:val="auto"/>
                <w:vertAlign w:val="superscript"/>
              </w:rPr>
              <w:t>(1)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matching contributions made under Legacy Semnur’s 401(k) plan, (ii) health insurance premiums paid by Legacy Semnur and</w:t>
      </w:r>
    </w:p>
    <w:p>
      <w:pPr>
        <w:spacing w:after="0" w:line="27"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premiums paid by Legacy Semnur.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Executive Officers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Legacy Semnur had only two named executive officers that provided services to Legacy Semnur: Jaisim Shah, Legacy Semnur’s Chief Executive Officer and Henry Ji, Ph.D., Legacy Semnur’s Treasurer and Secretary.</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Scilex’s Chief Financial Officer, Stephen Ma, also provided services to Legacy Semnur during such time but was not then an executive officer of Legacy Semnur. Semnur appointed Mr. Ma as Semnur’s Chief Financial Officer following the closing of the Business Combination, and as Semnur’s Chief Operating Officer in March 2026.</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each of Mr. Shah, Dr. Ji and Mr. Ma was an executive officer of Scilex. As Semnur is a majority owned subsidiary of Scilex and executives of Scilex are required to provide services to Scilex’s subsidiaries, neither Dr. Ji nor Mr. Shah nor Mr. Ma received any additional cash or equity compensation from Legacy Semnur for services rendered to Legacy Semnur for the year ended December 31, 2024 and Legacy Semnur had not entered into any employment agreements with Dr. Ji, Mr. Shah or Mr. Ma, prior to the closing of the Business Combination. Instead, the costs associated with the time spent by Dr. Ji, Mr. Shah and Mr. Ma, and any other employees of Scilex, working on matters for Semnur is allocated to Semnur. These costs are then included in Semnur’s operating expenses as either research and development expenses, if such individual is engaged in research and development functions related to the SP-102 program, or general and administrative expenses, if such individual is engaged in executive, marketing, finance, corporate and business development and administrative functions.</w:t>
      </w:r>
    </w:p>
    <w:p>
      <w:pPr>
        <w:spacing w:after="0" w:line="192"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After the consummation of the Business Combination, Dr. Ji retained his position at Scilex as Scilex’s Chief Executive Officer, President, Chairperson and a board member, and Mr. Ma retained his position as Scilex’s Chief Financial Officer and Corporate Secretary. Dr. Ji and Mr. Ma continue to dedicate time to both Scilex and Semnur. During the year ended December 31, 2024, Mr. Shah previously dedicated approximately 80% of his time to Scilex and 20% to Legacy Semnur, Dr. Ji dedicated approximately 99% of his time to Scilex and 1% to Legacy Semnur and Mr. Ma dedicated approximately 80% of his time to Scilex and 20% to Legacy Semnur. Each officer’s hours fluctuated weekly based on the specific needs of Scilex and Legacy Semnur. After the consummation of the Business Combination, each of Dr. Ji and Mr. Ma increased the aggregate number of hours he is working and splits his time equally between Scilex and Semnur.</w:t>
      </w:r>
    </w:p>
    <w:p>
      <w:pPr>
        <w:spacing w:after="0" w:line="18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there were no research and development expenses as a result of Dr. Ji’s, Mr. Shah’s and Mr. Ma’s time allocated to Legacy Semnur and general and administrative expenses as a result of Dr. Ji’s, Mr. Shah’s and Mr. Ma’s time allocated to Legacy Semnur during the year ended December 31, 2024 were approximately $406,584.</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On August 30, 2024, the board of directors of Legacy Semnur approved the following stock option grants (the “Awards”), as adjusted for the option exchange, to Dr. Ji, Mr. Shah and Mr. Ma under the 2024 Stock Option Plan, with a grant date of August 30, 2024, which grants are subject to the terms and conditions of the 2024 Stock Option Plan and the applicable form of option agreement approved for use thereunder. The exercise price, after giving effect to the option exchange completed in connection with the Business Combination, of the following stock option grants is $1.27 per share, with 1/48th of the total amount of the shares vested and shall vest each month after the grant date, subject to the executive officer’s providing continuous service (as defined in the 2024 Stock Option Plan) on each such vesting date, inclusive.</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Jaisim Shah</w:t>
            </w:r>
          </w:p>
        </w:tc>
        <w:tc>
          <w:tcPr>
            <w:tcW w:w="39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Henry Ji, Ph.D.</w:t>
            </w:r>
          </w:p>
        </w:tc>
        <w:tc>
          <w:tcPr>
            <w:tcW w:w="5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17,500,000</w:t>
            </w: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w:t>
            </w:r>
          </w:p>
        </w:tc>
        <w:tc>
          <w:tcPr>
            <w:tcW w:w="5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w:t>
            </w:r>
          </w:p>
        </w:tc>
      </w:tr>
      <w:tr>
        <w:trPr>
          <w:trHeight w:val="365"/>
        </w:trPr>
        <w:tc>
          <w:tcPr>
            <w:tcW w:w="2360" w:type="dxa"/>
            <w:vAlign w:val="bottom"/>
          </w:tcPr>
          <w:p>
            <w:pPr>
              <w:spacing w:after="0"/>
              <w:rPr>
                <w:sz w:val="24"/>
                <w:szCs w:val="24"/>
                <w:color w:val="auto"/>
              </w:rPr>
            </w:pPr>
          </w:p>
        </w:tc>
        <w:tc>
          <w:tcPr>
            <w:tcW w:w="39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Awards became eligible for exercise upon the approval by the shareholders of Denali of the proposal that each Legacy Semnur option that is then outstanding shall be converted into the right to receive an option relating to Common Stock (the “Option Exchange”) (and notwithstanding the foregoing, the Awards are not exercisable until all payments and all obligations under that certain Senior Secured Promissory Note, dated September 21, 2023, issued by Scilex to Oramed Pharmaceuticals, Inc. (“Oramed”), as amended (the “Oramed Note”) have been paid in full). These Awards are not considered to be granted under accounting rules as repayment of the Oramed Note has not occurred. As such, total amount of stock-based compensation expense attributable to these Awards would be determined based on their accounting grant-date fair value and to be recognized, on a tranche-by-tranche basis, over forty-eight equal monthly tranches. No expense was recorded in connection with the Awards granted under the 2024 Stock Option Plan as of December 31, 2024, as the vesting is contingent upon the repayment of the Oramed Note and the closing of the Business Combination.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each of Mr. Shah, Dr. Ji and Mr. Ma, effective as of the closing of the Business Combination (collectively, the “Employment Agreements”).</w:t>
      </w:r>
    </w:p>
    <w:p>
      <w:pPr>
        <w:spacing w:after="0" w:line="162" w:lineRule="exact"/>
        <w:rPr>
          <w:sz w:val="20"/>
          <w:szCs w:val="20"/>
          <w:color w:val="auto"/>
        </w:rPr>
      </w:pPr>
    </w:p>
    <w:p>
      <w:pPr>
        <w:jc w:val="both"/>
        <w:ind w:left="120" w:right="80"/>
        <w:spacing w:after="0" w:line="257" w:lineRule="auto"/>
        <w:rPr>
          <w:sz w:val="20"/>
          <w:szCs w:val="20"/>
          <w:color w:val="auto"/>
        </w:rPr>
      </w:pPr>
      <w:r>
        <w:rPr>
          <w:rFonts w:ascii="Times New Roman" w:cs="Times New Roman" w:eastAsia="Times New Roman" w:hAnsi="Times New Roman"/>
          <w:sz w:val="18"/>
          <w:szCs w:val="18"/>
          <w:color w:val="auto"/>
        </w:rPr>
        <w:t>Pursuant to the employment agreement entered into with Mr. Shah, which was terminated upon his resignation on March 13, 2026, Mr. Shah agreed to continue to serve as the Chief Executive Officer and President of the Company. Until his resignation, Mr. Shah’s annualized salary was $1,250,000 and he was eligible to receive an annual incentive bonus of up to 150% of his base salary. In connection with Mr. Shah’s departure, the Company and</w:t>
      </w:r>
    </w:p>
    <w:p>
      <w:pPr>
        <w:spacing w:after="0" w:line="1"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Mr. Shah entered into a separation agreement, effective as of March 13, 2026 (the “Shah Separation Agreement”), pursuant to which Mr. Shah shall receive six months of continued payment of his base salary and shall be given a 90-day extension of the post-termination exercise period under the applicable equity plan to exercise any of his vested stock options pursuant to the award agreements for such options. The Shah Separation Agreement also includes a standard general release of all claims.</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Pursuant to the employment agreement entered into with Dr. Ji, Dr. Ji agreed to continue to serve as the Executive Chairperson of the Company. Dr. Ji’s annualized salary is $1,100,000 and he is eligible to receive an annual incentive bonus of up to 150% of his base salary. Dr. Ji’s compensation has not been changed in connection with his appointment as the Company’s Chief Executive Officer and President, effective March 13, 2026. The Compensation Committee shall annually review and adjust his base salary.</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Pursuant to the employment agreement entered into with Mr. Ma, Mr. Ma agreed to serve as the Chief Financial Officer, Senior Vice President and Secretary of the Company. Mr. Ma’s annualized salary is $345,000 and he is eligible to receive an annual incentive bonus of up to 60% of his base salary. Mr. Ma’s compensation has not been changed in connection with his appointment as the Company’s Chief Operating Officer, effective March 17, 2026. The Compensation Committee shall annually review and adjust his base salary.</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Each Employment Agreement, other than that with Mr. Shah, has a term of three years and will renew automatically for additional one-year terms, unless either party provides the other with written notice of non-renewal at least 60 days prior to the date of automatic renewal. Each executive officer’s employment is on an “at will” basis. Each executive officer is also entitled to other customary employment benefits, including reimbursement of expenses, paid vacation, and shall be eligible to participate in all benefit plans that are generally made available to the Company’s executive officers.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Dr. Ji’s Employment Agreement provides that if Dr. Ji’s employment with the Company is terminated by the Company without “Cause” or by Dr. Ji for “Good Reason” and such termination occurs more than six months after the Effective Date and prior to a Change in Control (as each term is defined in Dr. Ji’s Employment Agreement), then Dr. Ji shall be entitled to receive an amount equal to 12 months of his base salary, payable in accordance with the Company’s payroll cycle and the Company shall pay COBRA premiums for Dr. Ji and his covered dependents for a period of up to 12 months, subject in each case to Dr. Ji executing a release in favor of</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5"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Additionally, Dr. Ji’s outstanding and vested stock options as of the date of Dr. Ji’s termination will remain exercisable for 24 months post-termination. Dr. Ji’s Employment Agreement also provides that if there is a Change in Control more than 6 months after the Effective Date and prior to the date on which Dr. Ji’s employment with the Company terminates (as each term is defined in Dr. Ji’s Employment Agreement), Dr. Ji will receive a lump-sum payment equal to (i) three times the sum of Dr. Ji’s base salary and target annual bonus, plus (ii) $3,000 multiplied by 36, in respect of an estimate of benefit premiums for Dr. Ji. Additionally, outstanding and unvested equity awards with solely time-based vesting shall vest in full and any performance-based vesting requirement shall be deemed satisfied and will become vested in full upon a Change in Control and Dr. Ji’s outstanding and vested stock options will remain exercisable for 24 months post-termination.</w:t>
      </w:r>
    </w:p>
    <w:p>
      <w:pPr>
        <w:spacing w:after="0" w:line="18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Ma’s Employment Agreement provides that if Mr. Ma’s employment with the Company is terminated by the Company without “Cause” or by such executive officer for “Good Reason” and such termination occurs more than six months after the Effective Date and prior to a Change in Control (as each term is defined in Mr. Ma’s Employment Agreement), then Mr. Ma shall be entitled to receive an amount equal to 12 months of his base salary, payable in accordance with the Company’s payroll cycle and the Company shall pay COBRA premiums for Mr. Ma and his covered dependents for a period of up to 12 months, subject in each case to such Mr. Ma executing a release in favor of the Company. Additionally, Mr. Ma’s outstanding and vested stock options as of the date of his termination will remain exercisable for 24 months post-termination. His Employment Agreement also provides that if there is a Change in Control more than 6 months after the Effective Date and prior to the date on which Mr. Ma’s employment with the Company terminates (as each term is defined in his Employment Agreement), Mr. Ma will receive a lump-sum payment equal to (i) two times the sum of his base salary and target annual bonus, plus (ii) $3,000 multiplied by 24, in respect of an estimate of benefit premiums for such executive officer. Additionally, outstanding and unvested equity awards with solely time-based vesting shall vest in full and any performance-based vesting requirement shall be deemed satisfied and will become vested in full upon a Change in Control and Mr. Ma’s outstanding and vested stock options will remain exercisable for 24 months post-termination.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Legacy Semnur did not have any arrangement with any of its executive officers providing for potential payments, compensation or other benefits upon termination or the occurrence of a change of control other than as described above.</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there is a sale or other disposition of at least 50% of the outstanding securities of Semnur or other corporate transaction (as defined in the 2024 Stock Option Plan), and the Awards are not assumed, continued or substituted by the surviving or acquiring corporation, then the Awards will be accelerated in full to a date prior to the effective time of the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Semnur with respect to such awards will lapse (contingent upon the effectiveness of the corporate transaction).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Perquisites, Health, Welfare and Retirement Benefits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Semnur does not provide perquisites or personal benefits to its executive officers. The Board may elect to adopt qualified or nonqualified benefit plans in the future if it determines that doing so is in the best interests of Semnur.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121"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Semnur does not provide a pension plan or nonqualified deferred compensation plan for its executive officers. The Board may elect to adopt a pension plan or nonqualified deferred compensation plan for its executive officers in the future if it determines that doing so is in the best interests of Semnur.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information concerning outstanding equity awards held by each of our named executive officers as of December 31, 2025. Following the Business Combination, each outstanding equity award with respect to our Common Stock reflected in the table below was equitably adjusted in accordance with the terms of the Merger Agreement and the 2024 Stock Option Plan.</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(1)(2)</w:t>
            </w: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gridSpan w:val="2"/>
            <w:vMerge w:val="continue"/>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8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5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5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r>
              <w:rPr>
                <w:rFonts w:ascii="Times New Roman" w:cs="Times New Roman" w:eastAsia="Times New Roman" w:hAnsi="Times New Roman"/>
                <w:sz w:val="10"/>
                <w:szCs w:val="10"/>
                <w:b w:val="1"/>
                <w:bCs w:val="1"/>
                <w:color w:val="auto"/>
              </w:rPr>
              <w:t>(3)</w:t>
            </w: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82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9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Jaisim Shah</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8/30/2024</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8/30/2024</w:t>
            </w: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7,291,667</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14,583,333</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8/30/2034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Ji, Ph.D.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8/30/2024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8/30/2024</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7,291,667</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14,583,333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8/30/2034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8/30/2024</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8/30/2024</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833,333</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1,666,667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60" w:hanging="424"/>
        <w:spacing w:after="0" w:line="257"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was granted under the 2024 Stock Option Plan. The number of shares underlying each option and the exercise price set forth in this table reflect the application of certain exchange ratio for the conversion of shares of Legacy Semnur common stock and stock options into shares of our Common Stock and stock options (the “Exchange Ratio”) in the Business Combination.</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1/48th of the total amount of the shares vested and shall vest each month after the option grant date, subject to the executive officer’s providing continuous service (as defined in the 2024 Stock Option Plan) on each such vesting date, inclusive.</w:t>
      </w:r>
    </w:p>
    <w:p>
      <w:pPr>
        <w:ind w:left="540" w:right="20" w:hanging="424"/>
        <w:spacing w:after="0" w:line="253"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 Timing Procedures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In accordance with Item 402(x) of Regulation S-K under the Securities Act, we are providing information regarding our procedures related to the grant of certain equity awards close in time to the release of material non-public information (“MNPI”). We intend to grant equity awards annually, and any such equity awards granted will be recommended by the Compensation Committee and approved by our Board on or before the grant date. We do not intend to grant equity awards in anticipation of the release of material non-public information and do not plan to time, the release of material non-public information in coordination with grants of equity awards in a manner that intentionally affects the value of executive compensation. Additionally, our Insider Trading Policy prohibits directors, officers and employees from trading our securities while in possession of or on the basis of MNPI about us. We have not timed, and do not plan to time, the disclosure of MNPI for the purpose of affecting the value of executive compensation.</w:t>
      </w:r>
    </w:p>
    <w:p>
      <w:pPr>
        <w:spacing w:after="0" w:line="18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no options were granted to our named executive officers within four business days prior to, or one business day following, the filing or furnishing of a periodic or current report by us that disclosed MNPI.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w:t>
      </w:r>
    </w:p>
    <w:p>
      <w:pPr>
        <w:spacing w:after="0" w:line="1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additional shares outside of a Rule 10b5-1 plan when they are not in possession of MNPI, subject to compliance with the terms of our Insider Trading Policy and any applicable Rule 10b5-1 guidelines.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10b5-1 Plan Activity</w:t>
      </w:r>
    </w:p>
    <w:p>
      <w:pPr>
        <w:spacing w:after="0" w:line="121" w:lineRule="exact"/>
        <w:rPr>
          <w:sz w:val="20"/>
          <w:szCs w:val="20"/>
          <w:color w:val="auto"/>
        </w:rPr>
      </w:pPr>
    </w:p>
    <w:p>
      <w:pPr>
        <w:ind w:left="120" w:right="400"/>
        <w:spacing w:after="0" w:line="289" w:lineRule="auto"/>
        <w:rPr>
          <w:sz w:val="20"/>
          <w:szCs w:val="20"/>
          <w:color w:val="auto"/>
        </w:rPr>
      </w:pPr>
      <w:r>
        <w:rPr>
          <w:rFonts w:ascii="Times New Roman" w:cs="Times New Roman" w:eastAsia="Times New Roman" w:hAnsi="Times New Roman"/>
          <w:sz w:val="17"/>
          <w:szCs w:val="17"/>
          <w:color w:val="auto"/>
        </w:rPr>
        <w:t>During the fiscal quarter ended December 31, 2025, none of our directors or officers (as defined in Section 16 of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Equity-Based Incentive Plan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Semnur Pharmaceuticals, Inc. 2024 Stock Option Plan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Board adopted the 2024 Stock Option Plan on August 30, 2024. The 2024 Stock Option Plan was approved by Semnur’s then sole stockholder on August 30, 2024. Upon adoption, 40,000,000 shares of Legacy Common Stock were authorized for issuance under the 2024 Stock Option Plan. As of the date of this prospectus, options to purchase 50,000,000 shares of Common Stock were outstanding under the 2024 Stock Option Plan, after giving effect to the option exchange that was effected in connection with the Business Combination, and no shares were reserved for future issuance under the 2024 Stock Option Plan.</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2024 Stock Option Plan was terminated in connection with the consummation of the Business Combination, and no further awards were granted under the 2024 Stock Option Plan thereafter. However, the 2024 Stock Option Plan will continue to govern outstanding awards granted thereunder.</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the material terms of the 2024 Stock Option Plan, is not a complete description of all provisions of the 2024 Stock Option Plan and should be read in conjunction with the 2024 Stock Option Plan, which is filed as an exhibit to the registration statement of which this prospectus forms a part.</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Under the 2024 Stock Option Plan, an aggregate of 40,000,000 shares of Legacy Common Stock were reserved for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which number is subject to any adjustments as necessary to implement any Capitalization Adjustments (as defined in the 2024 Stock Option Plan). Shares subject to awards granted under the 2024 Stock Option Plan that expire or terminate without being exercised in full will not reduce the number of shares available for issuance under the 2024 Stock Option Plan. The settlement of any portion of an award in cash will not reduce the number of shares available for issuance under the 2024 Stock Option Plan. Shares withheld under an award to satisfy the exercise, strike or purchase price of an award or to satisfy a tax withholding obligation will not reduce the number of shares available for issuance under the 2024 Stock Option Plan. If any shares of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2024 Stock Option Plan. However, notwithstanding the prior sentence, no new awards may be granted under the 2024 Stock Option Plan as of the date of the closing of the Business Combination, given the termination of the 2024 Stock Option Plan.</w:t>
      </w:r>
    </w:p>
    <w:p>
      <w:pPr>
        <w:spacing w:after="0" w:line="192"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 and Eligibility</w:t>
      </w:r>
      <w:r>
        <w:rPr>
          <w:rFonts w:ascii="Times New Roman" w:cs="Times New Roman" w:eastAsia="Times New Roman" w:hAnsi="Times New Roman"/>
          <w:sz w:val="18"/>
          <w:szCs w:val="18"/>
          <w:color w:val="auto"/>
        </w:rPr>
        <w:t>. The 2024 Stock Option Plan provides for the grant of nonstatutory stock options to employees, consultants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Semnur and its affiliates.</w:t>
      </w:r>
    </w:p>
    <w:p>
      <w:pPr>
        <w:spacing w:after="0" w:line="158"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Options are granted under stock option agreements adopted by the Board. The Board determines the exercise price for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within the terms and conditions of the 2024 Stock Option Plan, except the exercise price of a stock option generally will not be less than 100% of the fair market value of Common Stock on the date of grant. Options granted under the 2024 Stock Option Plan will vest at the rate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specified in the stock option agreement as will be determined by the Board. The terms and conditions of separate options need not be identical.</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option will be exercisable after the expiration of ten years or a shorter period specified in the applicable award agreement. Unless the terms of an optionholder’s stock option agreement, or other written agreement between Semnur and the recipient, provide otherwise, if an optionholder’s service relationship with Semnur or any of its affiliates ceases for any reason other than disability, death or cause, the optionholder may generally exercise any vested options for a period of three months following the cessation of service. If an optionholder’s service relationship with Semnur or any of its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Semnur or any of its affiliates ceases due to disability, the optionholder may generally exercise any vested options for a period of 12 months following the cessation of service. In the event of a termination for cause, options generally terminate upon the termination date and the right to exercise an option may be suspended if the optionholder is suspended pending investigation of whether his or her service will be terminated for cause. An optionholder may not exercise an option at any time that the issuance of shares upon such exercise would violate applicable law. Unless provided otherwise in the optionholder’s stock option agreement or other written agreement between an optionholder and Semnur, if an optionholder’s service relationship with Semnur or any of its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Semnur’s trading policy, or (iii) the Board has suspended exercisability because the optionholder is suspended pending investigation of whether his or her service will be terminated for cause,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19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Board and may include (i) cash or check, bank draft or money order payable to Semnur; (ii) a broker-assisted cashless exercise; (iii) subject to certain conditions, the tender of shares of Common Stock previously owned by the optionholder; (iv) a net exercise of the option; or (v) other legal consideration acceptable to the Board.</w:t>
      </w:r>
    </w:p>
    <w:p>
      <w:pPr>
        <w:spacing w:after="0" w:line="178" w:lineRule="exact"/>
        <w:rPr>
          <w:sz w:val="20"/>
          <w:szCs w:val="20"/>
          <w:color w:val="auto"/>
        </w:rPr>
      </w:pPr>
    </w:p>
    <w:p>
      <w:pPr>
        <w:jc w:val="both"/>
        <w:ind w:left="120" w:right="70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Unless the Board provides otherwise, options generally will not be transferable except by will or the laws of descent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Subject to approval of the Board or a duly authorized officer, an option may be transferred pursuant to a domestic relations order.</w:t>
      </w:r>
    </w:p>
    <w:p>
      <w:pPr>
        <w:spacing w:after="0" w:line="13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Board, or a duly authorized committee thereof, will administer the 2024 Stock Option Plan. The Board, or a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committee thereof, will, in accordance with the terms of the 2024 Stock Option Plan have the authority to determine: award recipients; how and when each award will be granted; the provisions of each award, including the period of exercisability and the vesting schedule applicable to an award; the number of shares of common stock subject to each award; and the fair market value applicable to an award. If Denali’s shareholders approve the Option Exchange Proposal at the Meeting, following the consummation of the Business Combination, the Board, or a duly authorized committee thereof, will administer the 2024 Stock Option Plan with respect to such options and we will also designate a plan administrator to administer the day-to-day operations of the 2024 Stock Option Plan.</w:t>
      </w:r>
    </w:p>
    <w:p>
      <w:pPr>
        <w:spacing w:after="0" w:line="183"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2024 Stock Option Plan provides that in the event of a corporate transaction (as defined in the 2024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award agreement or other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written agreement with Semnur or one of Semnur’s affiliates or unless otherwise expressly provided by the Board at the time of grant, any awards outstanding under the 2024 Stock Option Plan may be assumed, continued or substituted for, in whole or in part, by any surviving or acquiring corporation (or its parent company), and any reacquisition or repurchase rights held by Semnur with respect to Semnur’s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to a date prior to the effective time of the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Semnur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Semnur with respect to such awards will not terminate and may continue to be exercised notwithstanding the corporate transaction.</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Clawback/Recovery</w:t>
      </w:r>
      <w:r>
        <w:rPr>
          <w:rFonts w:ascii="Times New Roman" w:cs="Times New Roman" w:eastAsia="Times New Roman" w:hAnsi="Times New Roman"/>
          <w:sz w:val="18"/>
          <w:szCs w:val="18"/>
          <w:color w:val="auto"/>
        </w:rPr>
        <w:t>. All awards granted under the 2024 Stock Option Plan will be subject to recoupment in accordance with any clawback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w:t>
      </w:r>
    </w:p>
    <w:p>
      <w:pPr>
        <w:spacing w:after="0" w:line="18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The Board may accelerate the time at which an award granted under the 2024 Stock Option Plan may first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exercised or the time during which an award grant under the 2024 Stock Option Plan or any part thereof will vest, notwithstanding the provisions in the award agreement stating the time at which it may first be exercised or the time during which it will vest. The Board will have the authority to amend, suspend, or terminate the 2024 Stock Option Plan at any time, provided that such action does not materially impair the existing rights of any participant without such participant’s written consent. Certain material amendments will also require the approval of Semnur’s stockholders. No options may be granted after the tenth anniversary of the effective date. No awards may be granted under the 2024 Stock Option Plan while it is suspended or after it is terminated.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Semnur is an “emerging growth company,” as defined in the JOBS Act. As an emerging growth company, it is exempted from certain requirements related to executive compensation, including the requirements to hold a nonbinding advisory vote on executive compensation and to provide information relating to the ratio of total compensation of its Chief Executive Officer to the median of the annual total compensation of all of its employees, each as required by the Investor Protection and Securities Reform Act of 2010, which is part of the Dodd-Frank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Policy for the compensation of our non-employee directors, during 2025, each of our non-employee directors received annual retainers, subject to proration, for service on our Board and its committees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Annual Cash Compensation</w:t>
            </w: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66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Members</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$ 82,500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66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Chairs of the Audit Committee, Compensation Committee, Nominating and Corporate</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Governance Committee and Commercialization and Transaction Committee</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$ 37,500</w:t>
            </w:r>
          </w:p>
        </w:tc>
      </w:tr>
      <w:tr>
        <w:trPr>
          <w:trHeight w:val="198"/>
        </w:trPr>
        <w:tc>
          <w:tcPr>
            <w:tcW w:w="66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Members of the Audit Committee, Compensation Committee, Nominating and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Governance Committee and Commercialization and Transaction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66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Committee</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$ 15,000</w:t>
            </w:r>
          </w:p>
        </w:tc>
      </w:tr>
      <w:tr>
        <w:trPr>
          <w:trHeight w:val="412"/>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5280" w:type="dxa"/>
            <w:vAlign w:val="bottom"/>
            <w:gridSpan w:val="2"/>
          </w:tcPr>
          <w:p>
            <w:pPr>
              <w:spacing w:after="0"/>
              <w:rPr>
                <w:sz w:val="24"/>
                <w:szCs w:val="24"/>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3"/>
        </w:trPr>
        <w:tc>
          <w:tcPr>
            <w:tcW w:w="66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Stock Options</w:t>
            </w: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Stock Options</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7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All annual cash compensation amounts for our non-employee directors are payable in equal quarterly installments in arrears, following the end of each quarter in which the service occurred, pro-rated for any partial months of service. The equity compensation paid to our non-employee directors will vest monthly over a period of 48 months from the date of grant with respect to the initial stock option grants and over a period of 12 months from the date of grant with respect to the annual stock option grants, in each case, subject to continued service through each vesting date. Additionally, we will reimburse each outside director for reasonable travel expenses related to such director’s attendance at Board and committee meetings.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 directors receive no additional compensation for their service as a director.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or paid to each of our non-employee directors during the year ended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0"/>
                <w:szCs w:val="10"/>
                <w:b w:val="1"/>
                <w:bCs w:val="1"/>
                <w:color w:val="auto"/>
              </w:rPr>
              <w:t>(1)</w:t>
            </w: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540" w:type="dxa"/>
            <w:vAlign w:val="bottom"/>
            <w:gridSpan w:val="2"/>
            <w:vMerge w:val="continue"/>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0"/>
        </w:trPr>
        <w:tc>
          <w:tcPr>
            <w:tcW w:w="390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gridSpan w:val="3"/>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94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60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Jay Chun, M.D., Ph.D.</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45,318</w:t>
            </w: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$45,318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Dorman Followwill</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41,199</w:t>
            </w:r>
          </w:p>
        </w:tc>
        <w:tc>
          <w:tcPr>
            <w:tcW w:w="1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$41,199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Yue Alexander Wu, Ph.D.</w:t>
            </w:r>
          </w:p>
        </w:tc>
        <w:tc>
          <w:tcPr>
            <w:tcW w:w="21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41,199</w:t>
            </w:r>
          </w:p>
        </w:tc>
        <w:tc>
          <w:tcPr>
            <w:tcW w:w="15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$41,199</w:t>
            </w: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 Navani, M.D.</w:t>
            </w:r>
          </w:p>
        </w:tc>
        <w:tc>
          <w:tcPr>
            <w:tcW w:w="21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22,659</w:t>
            </w:r>
          </w:p>
        </w:tc>
        <w:tc>
          <w:tcPr>
            <w:tcW w:w="15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$22,659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60" w:hanging="424"/>
        <w:spacing w:after="0" w:line="26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Ji, our Chief Executive Officer, President and Executive Chairperson, and Mr. Shah, our former Chief Executive Officer and President, are not included in this table, as each of them was our employee and therefore received no compensation for his service as a director. Dr. Ji’s and</w:t>
      </w:r>
    </w:p>
    <w:p>
      <w:pPr>
        <w:ind w:left="540" w:right="5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Shah’s compensation as named executive officers are included in the section titled “Executive and Director Compensation — Summary Compensation Table” below.</w:t>
      </w:r>
    </w:p>
    <w:p>
      <w:pPr>
        <w:ind w:left="540" w:hanging="424"/>
        <w:spacing w:after="0"/>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none of our current non-employee directors held options to purchase shares of our Common Stock.</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information, as of the date of this prospectus concerning the persons who are expected to serve as directors and executive officers of Semnur.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the directors and executive officers of Semnur as of April 30, 2026.</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16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18"/>
                <w:szCs w:val="18"/>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Henry Ji, Ph.D.</w:t>
            </w:r>
            <w:r>
              <w:rPr>
                <w:rFonts w:ascii="Times New Roman" w:cs="Times New Roman" w:eastAsia="Times New Roman" w:hAnsi="Times New Roman"/>
                <w:sz w:val="25"/>
                <w:szCs w:val="25"/>
                <w:color w:val="auto"/>
                <w:vertAlign w:val="superscript"/>
              </w:rPr>
              <w:t>(4)</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Executive Chairperson and 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Ma</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w:t>
            </w: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Chief Operating Officer, Chief Financial Officer, Senior Vice President and Secretary</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Jay Chun, M.D., Ph.D.</w:t>
            </w:r>
            <w:r>
              <w:rPr>
                <w:rFonts w:ascii="Times New Roman" w:cs="Times New Roman" w:eastAsia="Times New Roman" w:hAnsi="Times New Roman"/>
                <w:sz w:val="25"/>
                <w:szCs w:val="25"/>
                <w:color w:val="auto"/>
                <w:vertAlign w:val="superscript"/>
              </w:rPr>
              <w:t>(1)(2)(3)(4)</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Dorman Followwill</w:t>
            </w:r>
            <w:r>
              <w:rPr>
                <w:rFonts w:ascii="Times New Roman" w:cs="Times New Roman" w:eastAsia="Times New Roman" w:hAnsi="Times New Roman"/>
                <w:sz w:val="25"/>
                <w:szCs w:val="25"/>
                <w:color w:val="auto"/>
                <w:vertAlign w:val="superscript"/>
              </w:rPr>
              <w:t>(1)(2)(3)</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 Navani</w:t>
            </w:r>
          </w:p>
        </w:tc>
        <w:tc>
          <w:tcPr>
            <w:tcW w:w="6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5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Alexander Wu, Ph.D.</w:t>
            </w:r>
            <w:r>
              <w:rPr>
                <w:rFonts w:ascii="Times New Roman" w:cs="Times New Roman" w:eastAsia="Times New Roman" w:hAnsi="Times New Roman"/>
                <w:sz w:val="26"/>
                <w:szCs w:val="26"/>
                <w:color w:val="auto"/>
                <w:vertAlign w:val="superscript"/>
              </w:rPr>
              <w:t>(1)(2)(3)</w:t>
            </w:r>
          </w:p>
        </w:tc>
        <w:tc>
          <w:tcPr>
            <w:tcW w:w="6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w:t>
            </w: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Semnur Nominating and Corporate Governance Committee.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and Transaction Committee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Henry Ji, Ph.D. </w:t>
      </w:r>
      <w:r>
        <w:rPr>
          <w:rFonts w:ascii="Times New Roman" w:cs="Times New Roman" w:eastAsia="Times New Roman" w:hAnsi="Times New Roman"/>
          <w:sz w:val="18"/>
          <w:szCs w:val="18"/>
          <w:color w:val="auto"/>
        </w:rPr>
        <w:t>Dr. Ji has served as our Chief Executive Officer and President since March 2026 and our Executive Chairperson and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since the closing of the Business Combination. He has served as Legacy Semnur’s Treasurer and Secretary and a board member since its inception in 2013. Dr. Ji has served as Scilex’s Executive Chairperson and a board member since September 2023, as Scilex’s Chief Executive Officer and President since August 2025, and previously served as Scilex’s Executive Chairperson and board member from March 2019 to August 2023. He currently serves as the Chief Executive Officer of Vivasor Holding Company and Vivasor, Inc. Dr. Ji has served on the board of directors of Scilex Pharma since November 2016 and he served as the Chief Executive Officer of Scilex Pharma from November 2016 to March 2019. He co-founded and served as a director of Sorrento since January 2006, served as its Chief Scientific Officer from November 2008 to September 2012, as its Interim Chief Executive Officer from April 2011 to September 2012, as its Secretary from September 2009 to June 2011, as its Chief Executive Officer and President since September 2012 and as Chairman of its board of directors since August 2017. In 2002, Dr. Ji founded BioVintage, Inc., a research and development company focusing on innovative life sciences technology and product development, and has served as its President since 2002. From 2001 to 2002, Dr. Ji served as Vice President of CombiMatrix Corporation, a publicly-traded biotechnology company that develops proprietary technologies, including products and services in the areas of drug development, genetic analysis, molecular diagnostics and nanotechnology. During his tenure at CombiMatrix Corporation, Dr. Ji was responsible for strategic technology alliances with biopharmaceutical companies. From 1999 to 2001, Dr. Ji served as Director of Business Development, and in 2001 as Vice President of Stratagene Corporation (later acquired by Agilent Technologies, Inc.) where he was responsible for novel technology and product licensing and development. In 1997, Dr. Ji co-founded Stratagene Genomics, Inc., a wholly owned subsidiary of Stratagene Corporation, and served as its President and Chief Executive Officer from its founding until 1999. Dr. Ji previously served as a director of Celularity Inc. (Nasdaq: CELU) from June 2017 to July 2021. Dr. Ji is the holder of several issued and pending</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patents in the life science research field and is the sole inventor of Sorrento’s intellectual property. Dr. Ji has a Ph.D. in Animal Physiology from the University of Minnesota and a B.S. in Biochemistry from Fudan University. Dr. Ji has demonstrated significant leadership skills as President and Chief Executive Officer of Stratagene Genomics, Inc. and Vice President of CombiMatrix Corporation and Stratagene Corporation and brings more than 20 years of biotechnology and biopharmaceutical experience to his position on the Board. We believe that Dr. Ji’s extensive knowledge of the industry in which we operate allows him to bring to the Board a broad understanding of the operational and strategic issues we face.</w:t>
      </w:r>
    </w:p>
    <w:p>
      <w:pPr>
        <w:spacing w:after="0" w:line="17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Ma. </w:t>
      </w:r>
      <w:r>
        <w:rPr>
          <w:rFonts w:ascii="Times New Roman" w:cs="Times New Roman" w:eastAsia="Times New Roman" w:hAnsi="Times New Roman"/>
          <w:sz w:val="18"/>
          <w:szCs w:val="18"/>
          <w:color w:val="auto"/>
        </w:rPr>
        <w:t>Mr. Ma has served as our Chief Financial Officer, Senior Vice President and Corporate Secretary since the closing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and as our Chief Operating Officer since March 2026. Mr. Ma has more than 15 years of finance and operational expertise across pharmaceuticals and venture backed biotechnology companies. Mr. Ma has served as Scilex’s Chief Financial Officer and Senior Vice President since September 2023, as Scilex’s Corporate Secretary since March 2024, as a director of Scilex since September 2025, and as Chief Operating Officer of Scilex since October 2025. He previously served as Scilex’s Chief Accounting Officer from May 2023 until his appointment as Scilex’s Chief Financial Officer and as Scilex’s Vice President of Finance from January 2022 to April 2023. Prior to joining Scilex, he served as Director of Finance and Operations for Anwita Biosciences, Inc., a clinical-stage company, from August 2019 to January 2022. From May 2016 to August 2019, Mr. Ma served as the Senior Director of Finance and Controller of Legacy Semnur. Prior to that, he served as Controller for Globavir and part of the management team that worked on its initial public offering process. He also served as the Controller for Ardelyx, Inc., which went public in 2014. Prior to that, Mr. Ma served in various finance positions at PDL BioPharma, Inc. and Hyperion Therapeutics, Inc. Mr. Ma began his career with more than 10 years in high technology companies and has a wealth of experience in finance, strategic planning, commercial launching, debt financing, public offerings and M&amp;A transactions. Mr. Ma holds a B.S. in Finance and M.A. in Economics from San Jose State University.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names and business experience of Semnur’s independent directors and other information relevant to their service on the Board are provided below.</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 Chun, M.D., Ph.D. </w:t>
      </w:r>
      <w:r>
        <w:rPr>
          <w:rFonts w:ascii="Times New Roman" w:cs="Times New Roman" w:eastAsia="Times New Roman" w:hAnsi="Times New Roman"/>
          <w:sz w:val="18"/>
          <w:szCs w:val="18"/>
          <w:color w:val="auto"/>
        </w:rPr>
        <w:t>Dr. Chun has served as a member of the Board since the closing of the Business Combination. Dr. Chun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of Scilex since September 2023. Dr. Chun served as the Chief of Neurosurgery at Overlook Medical Center at Atlantic Health System from June 2015 to June 2023, and as Director of the Atlantic Health Spine Center at Overlook Medical Center from September 2022 to May 2024. Dr. Chun has served as a member of Scilex’s Scientific Advisory Board since August 2021 and previously served as a member of Celularity Inc.’s (Nasdaq: CELU) Scientific Advisory Board from September 2020 to January 2023. Dr. Chun completed his M.D. and Ph.D. at Columbia University College of Physicians and Surgeons. His neurosurgical residency was completed at the University of California at San Francisco, followed by specialization in the discipline of complex and minimally invasive spine surgery at Emory University in Atlanta, Georgia. Dr. Chun is board certified and specializes in complex and minimally invasive spine surgery as well as artificial discs. While a member of the Columbia University faculty from June 1995 to June 1997, Dr. Chun worked in the field of biotechnology. He has received many honors including Medical Research Fellowships from the NIH, working with the late Nobel Laureate Marshall Nirenberg. He received his Ph.D. with Richard Axel, a recipient of the 2004 Nobel Prize. In honor of his stem cell research, he received the NIH Individual National Research Service Award. We believe that Dr. Chun’s extensive scientific background and business experience qualify him to serve on the Board.</w:t>
      </w:r>
    </w:p>
    <w:p>
      <w:pPr>
        <w:spacing w:after="0" w:line="190" w:lineRule="exact"/>
        <w:rPr>
          <w:sz w:val="20"/>
          <w:szCs w:val="20"/>
          <w:color w:val="auto"/>
        </w:rPr>
      </w:pPr>
    </w:p>
    <w:p>
      <w:pPr>
        <w:ind w:left="120" w:right="3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Dorman Followwill</w:t>
      </w:r>
      <w:r>
        <w:rPr>
          <w:rFonts w:ascii="Times New Roman" w:cs="Times New Roman" w:eastAsia="Times New Roman" w:hAnsi="Times New Roman"/>
          <w:sz w:val="18"/>
          <w:szCs w:val="18"/>
          <w:color w:val="auto"/>
        </w:rPr>
        <w:t>. Mr. Followwill has served as a member of the Board since the closing of the Business Combination. Mr. Followwill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member of Scilex’s board of directors since November 2022. Prior to that, he served as a director of Scilex, Inc. from April 2022 to November 2022, as a director of Sorrento Therapeutics, Inc. (“Sorrento”) from October 2017 to April 2024 and as its lead independent director from August 2020 to April 2024. From 2016 to September 2020, Mr. Followwill was Senior Partner of</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Transformational Health at Frost &amp; Sullivan, a business consulting firm involved in market research and analysis, growth strategy consulting and corporate training across multiple industries. Prior to that time, he served in various roles at Frost &amp; Sullivan, including Partner on the Executive Committee managing the P&amp;L of the business in Europe, Israel and Africa, and Partner overseeing the Healthcare and Life Sciences business in North America, since initially joining Frost &amp; Sullivan to help found the Consulting practice in January 1988. Mr. Followwill has more than 30 years of organizational leadership and management consulting experience, having worked on hundreds of consulting projects across all major regions and across multiple industry sectors, each project focused around the strategic imperative of growth. He holds a B.A. from Stanford University in The Management of Organizations. We believe that Mr. Followwill’s extensive knowledge and understanding of the healthcare and life sciences industries qualify him to serve on the Board.</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 Navani, M.D. </w:t>
      </w:r>
      <w:r>
        <w:rPr>
          <w:rFonts w:ascii="Times New Roman" w:cs="Times New Roman" w:eastAsia="Times New Roman" w:hAnsi="Times New Roman"/>
          <w:sz w:val="18"/>
          <w:szCs w:val="18"/>
          <w:color w:val="auto"/>
        </w:rPr>
        <w:t>Dr. Navani has served as a member of the Board since the closing of the Business Combination. Dr. Navani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director of Scilex from July 2024 until September 2025. Dr. Navani founded and has served as the Chief Executive Officer of Comprehensive Spine and Sports Center from 2013 until 2022 as a leader in interventional and multidisciplinary spine, musculoskeletal and orthopedic care. She has also been serving as the Chief Medical Officer at Boomerang Healthcare since May 2022. Over the last decade, she has scaled a solo practice to a large multispecialty group practice with more than twenty service lines that operate via multiple state-of-the-art centers in Northern and Southern California. Since 2003, Dr. Navani has served as a Clinical Professor in the Division of Pain Medicine at Stanford University School of Medicine. She has also served as an Advisor to Le Reve Regenerative Wellness, the center for cutting edge restorative and regenerative solutions for clinical applications and research, since 2013. Dr. Navani completed her Anesthesiology residency at the Medical College of Wisconsin, Milwaukee and Fellowship in Pain Medicine at the University of California, Davis. She is board certified in Anesthesiology and Pain Medicine by American Board of Anesthesiology, in Interventional Pain by American Board of Interventional Pain Physicians and in Regenerative Medicine by American Board of Regenerative Medicine. We believe that Dr. Navani’s scientific background and business experience in various roles in the life sciences industry qualify her to serve on our Board.</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Yue Alexander Wu, Ph.D. </w:t>
      </w:r>
      <w:r>
        <w:rPr>
          <w:rFonts w:ascii="Times New Roman" w:cs="Times New Roman" w:eastAsia="Times New Roman" w:hAnsi="Times New Roman"/>
          <w:sz w:val="18"/>
          <w:szCs w:val="18"/>
          <w:color w:val="auto"/>
        </w:rPr>
        <w:t>Dr. Wu has served as a member of the Board since the closing of the Business Combination. Dr. Wu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Scilex’s board of directors since September 2023. Dr. Wu is the co-founder and Chief Executive Officer of Cothera Bioscience, Inc., a translation medicine and precision therapeutics company developing cancer therapeutics for previously undruggable targets. He was previously President, Chief Executive Officer and Chief Strategy Officer of Crown Bioscience International, a leading global drug discovery and development solutions company, which he co-founded in 2006, until 2017. From 2004 to 2006, Dr. Wu was Chief Business Officer of Starvax International Inc. in Beijing, China, a biotechnology company focusing on oncology and infectious diseases. From 2001 to 2004, Dr. Wu was a venture capitalist with Burrill &amp; Company where he was head of Asian Activities. Dr. Wu has served as a director of CASI Pharmaceuticals, Inc. (Nasdaq: CASI) since June 2013 and Sorrento from August 2016 to April 2024. Dr. Wu received his Ph.D. in Molecular Cell Biology and his M.B.A. from University of California at Berkeley. He earned an M.S. in Biochemistry from University of Illinois, Urbana-Champaign and his B.S. in Biochemistry from Fudan University in Shanghai, China. We believe that Dr. Wu’s scientific background and business experience in various roles in the life sciences industry qualify him to serve on the Board.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the individuals who shall serve as the directors or executive officers of Semnur.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Sorrento Chapter 11 Filing</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On February 13, 2023, Sorrento, together with its wholly owned direct subsidiary, Scintilla Pharmaceuticals, Inc., commenced voluntary proceedings under Chapter 11 of the United States Bankruptcy Code in the United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States Bankruptcy Court for the Southern District of Texas, jointly administered under the caption </w:t>
      </w:r>
      <w:r>
        <w:rPr>
          <w:rFonts w:ascii="Times New Roman" w:cs="Times New Roman" w:eastAsia="Times New Roman" w:hAnsi="Times New Roman"/>
          <w:sz w:val="18"/>
          <w:szCs w:val="18"/>
          <w:i w:val="1"/>
          <w:iCs w:val="1"/>
          <w:color w:val="auto"/>
        </w:rPr>
        <w:t>In re Sorrento Therapeutics, Inc., et al</w:t>
      </w:r>
      <w:r>
        <w:rPr>
          <w:rFonts w:ascii="Times New Roman" w:cs="Times New Roman" w:eastAsia="Times New Roman" w:hAnsi="Times New Roman"/>
          <w:sz w:val="18"/>
          <w:szCs w:val="18"/>
          <w:color w:val="auto"/>
        </w:rPr>
        <w:t>. (Case Number: 23-90085 (DRJ)). While Scilex was majority owned by Sorrento when the voluntary proceedings were commenced, Scilex is not a debtor in Sorrento’s voluntary Chapter 11 filing. As of September 21, 2023, Sorrento no longer held a majority of the voting power of Scilex’s outstanding capital stock entitled to vote. At the time of the Chapter 11 filing, Dr. Ji, who serves as Semnur’s Chief Executive Officer and President, and as a member of the Board, was Chairperson of the board of directors, President and Chief Executive Officer of Sorrento; Dr. Wu, who serves on the Board, was serving as a director of Sorrento and served as a director until April 2024; and Mr. Followwill, who serves on the Board, was serving as a director of Sorrento and served as a director until April 2024.</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Semnur does not expect that such proceedings will have a material effect.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Semnur’s business and affairs are managed under the direction of the Board, which consists of five members. Dr. Ji serves as Executive Chairperson of the Board. The primary responsibilities of the Board are to provide oversight, strategic guidance, counseling and direction to Semnur’s management. The Board meets on a regular basis and on an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basis as required. In accordance with the terms of the Charter and Bylaws, the Board is divided into three classes with staggered three-year terms, as follows:</w:t>
      </w:r>
    </w:p>
    <w:p>
      <w:pPr>
        <w:spacing w:after="0" w:line="85" w:lineRule="exact"/>
        <w:rPr>
          <w:sz w:val="20"/>
          <w:szCs w:val="20"/>
          <w:color w:val="auto"/>
        </w:rPr>
      </w:pPr>
    </w:p>
    <w:p>
      <w:pPr>
        <w:ind w:left="1080" w:right="60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Jay Chun, M.D., Ph.D. and Dr. Annu Navani and such director’s term will expire at the annual meeting of stockholders to be held in 2026;</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Dorman Followwill and Yue Alexander Wu, Ph.D. and their term will expire at the annual meeting of stockholders to be held in 2027;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 will be Henry Ji, Ph.D. and his term will expire at the annual meeting of stockholders to be held in 2028.</w:t>
      </w:r>
    </w:p>
    <w:p>
      <w:pPr>
        <w:spacing w:after="0" w:line="225"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At each annual meeting of stockholders to be held after the initial classification, the successors to directors whose terms will expire will be elected to serve from the time of election and qualification until the third annual meeting following their election. The authorized number of directors that shall constitute the Board is determined exclusively by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at any time the Scilex Group beneficially owns, in the aggregate, at least</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50% in voting power of the then-outstanding shares of Semnur’s capital stock entitled to vote generally in the election of directors, the stockholders may also fix the number of directors by resolutions adopted by the stockholders. Any increase or decrease in the number of directors is apportioned among the three classes so that, as nearly equal as practicable, each class consists of one-third of the directors. No decrease in the number of directors constituting the Board shortens the term of any incumbent director. Semnur’s directors may be removed with or without cause by the affirmative vote of the holders of a majority of voting power of the then-outstanding shares of Semnur’s capital stock entitled to vote generally in the election of such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from and after the Scilex Trigger Event any such director or all such directors may be removed only for cause and only by the affirmative vote of the holders of at least 66 2/3% in voting power of all the then-outstanding shares of Semnur’s capital stock entitled to vote thereon, voting together as a single class.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applicable law and the Charter and subject to the rights of the holders of any series of preferred stock of Semnur, any vacancy on the Board may be filled by the Board or the stockholders of Semnur;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from and after the Scilex Trigger Event, any such vacancy shall be filled only by the Board and not by the stockholders of Semnur. Any director elected in accordance with the preceding sentence shall hold office until the annual meeting of stockholders for the election of directors of the class to which he or she has been appointed and until his or her successor has been duly elected and qualified, subject, however, to such director’s earlier death, resignation, retirement, removal or disqualification.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Scilex currently controls a majority of the voting power for the election of directors. As a result, Semnur is a “controlled company” within the meaning of the Nasdaq Listing Rules.</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Nasdaq Listing Rules, a company of which more than 50% of the voting power is held by an individual, group or another company is a “controlled company” and may elect not to comply with certain corporate governance standards, including, but not limited to, the requirements (i) that a majority of its board of directors consist of independent directors, (ii) that its board of directors have a Compensation Committee that is composed entirely of independent directors with a written charter addressing the committee’s purpose and responsibilities and (iii) that director nominees must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While Semnur does not presently rely on these exemptions, Semnur may opt to utilize these exemptions in the future as long as it remains a controlled company. Accordingly, Semnur stockholders may not have the same protections afforded to stockholders of companies that are subject to all of the corporate governance requirements of Nasdaq. If Semnur ceases to be a “controlled company” and its shares of common stock continue to be listed on Nasdaq, Semnur will be required to comply with these standards and, depending on the Board’s independence determination with respect to its then-current directors, Semnur may be required to add additional directors to the Board in order to achieve such compliance within the applicable transition periods. See the section titled “</w:t>
      </w:r>
      <w:r>
        <w:rPr>
          <w:rFonts w:ascii="Times New Roman" w:cs="Times New Roman" w:eastAsia="Times New Roman" w:hAnsi="Times New Roman"/>
          <w:sz w:val="18"/>
          <w:szCs w:val="18"/>
          <w:i w:val="1"/>
          <w:iCs w:val="1"/>
          <w:color w:val="auto"/>
        </w:rPr>
        <w:t>Risk Factors — As of the date of this prospectus, 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Nasdaq Listing Rules, a majority of the members of the Board must satisfy Nasdaq’s criteria for “independence.” As a “controlled company”, Semnur is largely exempted from such requirements. The Board currently has determined that each of the directors on the Board, other than Dr. Ji (as a result of his position as Semnur’s Chief Executive Officer), qualify as independent directors, as defined by Rule 5605(a)(2) of the Nasdaq Listing Rules and the Board consists of a majority of “independent directors” as defined under the rules of the SEC and Nasdaq relating to director independence requirements. In addition, Semnur is subject to the rules of the SEC relating to the membership, qualifications and operations of the Audit Committee, as discussed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Semnur’s governance and management processes. The Board encourages management to promote a culture that incorporates risk management into its corporate strategy and day-to-day business operations. Management discusses strategic and operational (including cybersecurity) risks at regular management meetings, and conducts specific strategic planning and review sessions during the year that include a focused discussion and analysis of the risks facing Semnur. These risks are then reviewed with the Scilex Board at regular board meetings as part of management presentations covering both Scilex and Semnur that focus on particular business functions, operations or strategies, and presents the steps taken by management to mitigate or eliminate such risks.</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is responsible for overseeing the company’s overall risk management process. The responsibility for managing risk rests with executive management while the committees of the Board and the Board as a whole participate in the oversight process. The Board’s risk oversight process builds upon management’s risk assessment and mitigation processes, which include reviews of long-term strategic and operational planning,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executive development and evaluation, regulatory and legal compliance and financial reporting and internal controls with respect to areas of potential material risk, including operations, finance, legal, regulatory, cybersecurity, strategic and reputational risk.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Bylaws provide the Board with the discretion to combine or separate the positions of Chief Executive Officer and Executive Chairperson of the Board. Dr. Ji has served as Executive Chairperson of the Company since September 22, 2025, and was recently appointed as Chief Executive Officer upon the resignation of Mr. Shah. Our Board believes that Dr. Ji, is best situated to serve as Chairman of the Board because he is the director who is most familiar with our business and industry, possesses detailed and in-depth knowledge of the issues, opportunities and challenges facing us and is therefore best positioned to develop agendas that ensure that the Board’s time and attention are focused on the most critical matters. Our independent directors bring experience, oversight and expertise from outside the Company and industry, while the Chief Executive Officer brings Company-specific experience and expertise. The Board believes that the combined role of Chairman of the Board and Chief Executive Officer facilitates information flow between management and the Board, which is essential to effective governance. The Board continues to periodically review its leadership structure and may make changes in the future as it deems appropriate.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evaluating a director candidate’s qualifications, the Board assesses whether a candidate possesses the integrity, judgment, knowledge, experience, skills and expertise that are likely to enhance Semnur’s ability, as well as the ability of the committees of the Board, to manage and direct Semnur’s affairs and business. The Board may consider many factors, such as personal and professional integrity, ethics and values; experience in corporate management, such as serving as an officer or former officer of a publicly-held company; and experience as a board member or executive officer of another publicly-held company. In addition, the Board may consider diversity in identifying potential director nominees, including diversity of expertise and experience in substantive matters pertaining to Semnur’s business relative to other board members and diversity of background and perspective, including, but not limited to, with respect to age, gender, race, place of residence and specialized experience.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Compensation Committee and nominating and corporate governance committee (the “Nominating and Corporate Governance Committee”). The Board has adopted a new charter for each of these committees, which all comply with the applicable requirements of current Nasdaq Listing Rules. Copies of the charters for each committee are available on the investor relations portion of Semnur’s website. The composition and responsibilities of each of the committees of the Board are as set forth below. Members serve on these committees until their resignation or removal or until otherwise determined by the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Semnur’s Audit Committee consists of Jay Chun, M.D., Ph.D., Dorman Followwill and Yue Alexander Wu, Ph.D., with Dorman Followwill serving as the chairperson of the committee. Each of the members of the Audit Committee satisfy the independence requirements under the applicable Nasdaq Listing Rules and SEC rules. Each member of the Audit Committee can read and understand fundamental financial statements under the applicable rules and regulations of the SEC and Nasdaq Listing Rules.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responsibilities of the Audit Committee are included in a written charter. The Audit Committee assists the Board in fulfilling the Board’s oversight responsibilities with respect to Semnur’s accounting and financial reporting processes, the systems of internal control over financial reporting and audits of financial statements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reports, the performance of Semnur’s internal audit function, the quality and integrity of Semnur’s financial statements and reports, the qualifications, independence and performance of Semnur’s independent registered public accounting firm, and Semnur’s compliance with legal and regulatory requirements. For this purpose, the Audit Committee performs several functions. The Audit Committee’s responsibilities include, among others:</w:t>
      </w:r>
    </w:p>
    <w:p>
      <w:pPr>
        <w:spacing w:after="0" w:line="63" w:lineRule="exact"/>
        <w:rPr>
          <w:sz w:val="20"/>
          <w:szCs w:val="20"/>
          <w:color w:val="auto"/>
        </w:rPr>
      </w:pPr>
    </w:p>
    <w:p>
      <w:pPr>
        <w:ind w:left="10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Semnur’s independent registered public accounting firm and any other registered public accounting firm engaged for the purpose of performing other review or attest services for Semnur;</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an audit engagement, reviewing and discussing with the independent registered public accounting firm a written disclosure by the prospective independent registered public accounting firm of all relationships between Semnur, or persons in financial oversight roles with Semnur, and such independent registered public accounting firm or their affiliates;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Semnur’s audit engagement;</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Semnur’s internal control over financial reporting and any significant changes in internal controls;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auditing or internal control matters;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Semnur’s programs and policies designed to ensure compliance with laws and rules;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Semnur’s programs, policies and procedures related to Semnur’s information technology systems, information security risk management and information technology risk exposures, and the steps taken to monitor, mitigate and control such exposures and the Company’s plans to mitigate cybersecurity risks and to respond to data breaches;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Semnur’s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Semnur’s quarterly financial information prior to public disclosure and Semnur’s disclosures in its periodic reports filed with the SEC.</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Dorman Followwill qualifies as an Audit Committee financial expert within the meaning of SEC regulations and each of Jay Chun, M.D., Ph.D., Dorman Followwill and Yue Alexander Wu, Ph.D. meet the financial sophistication requirements under the Nasdaq Listing Rules. Semnur’s independent registered public accounting firm and Semnur management periodically meet separately with the Audit Committee.</w:t>
      </w:r>
    </w:p>
    <w:p>
      <w:pPr>
        <w:spacing w:after="0" w:line="176"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the Board for its consideration and approval.</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composition and functioning of the Audit Committee complies with all applicable requirements of the Sarbanes-Oxley Act and all applicable SEC rules and Nasdaq Listing Rules. Semnur intends to comply with future requirements to the extent they become applicable to Semnur.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Semnur’s Compensation Committee consists of Jay Chun, M.D., Ph.D., Dorman Followwill and Yue Alexander Wu, Ph.D., with Yue Alexander Wu, Ph.D. serving as the chairperson of the committee. Jay Chun, M.D., Ph.D., Dorman Followwill and Yue Alexander Wu, Ph.D. each satisfy the independence requirements under the Nasdaq Listing Rules. Each of the members of the Compensation Committee are non-employee director as defined in Rule 16b-3 promulgated under the Exchange Act and satisfy Nasdaq independence requirements. The Compensation Committee acts on behalf of the Board to fulfill the Board’s responsibilities in overseeing the company’s compensation policies, plans and programs; and in reviewing and determining the compensation to be paid to the executive officers and non-employee directors of Semnur. The responsibilities of the Compensation Committee are included in its written charter. The Compensation Committee’s responsibilities include, among others:</w:t>
      </w:r>
    </w:p>
    <w:p>
      <w:pPr>
        <w:spacing w:after="0" w:line="94" w:lineRule="exact"/>
        <w:rPr>
          <w:sz w:val="20"/>
          <w:szCs w:val="20"/>
          <w:color w:val="auto"/>
        </w:rPr>
      </w:pPr>
    </w:p>
    <w:p>
      <w:pPr>
        <w:ind w:left="1080" w:right="40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the Board regarding) Semnur’s overall compensation strategy and policies, to assure that they promote stockholder interests and support the Company’s strategic and tactical objectives, and that they provide for appropriate rewards and incentives for the Company’s management and employees;</w:t>
      </w:r>
    </w:p>
    <w:p>
      <w:pPr>
        <w:spacing w:after="0" w:line="81"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corporate performance goals and objectives relevant to the compensation of Semnur’s executive officers and other senior management;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the Board for determination and approval) the compensation and terms of employment of Semnur’s Chief Executive Officer, including seeking to achieve an appropriate level of risk and reward in determining the long-term incentive component of the compensation of the Chief Executive Officer;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the Board for determination and approval) the compensation and terms of employment of Semnur’s executive officers and other members of senior management;</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the Board regarding) the terms of employment agreements and severance agreements,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change-of-control protections and other compensatory arrangements for Semnur’s executive officers and other members of senior management;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reviews of the base compensation levels of all of Semnur’s employees generally;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programs as well as the type and amount of compensation to be paid or awarded to non-employee directors;</w:t>
      </w:r>
    </w:p>
    <w:p>
      <w:pPr>
        <w:spacing w:after="0" w:line="67" w:lineRule="exact"/>
        <w:rPr>
          <w:rFonts w:ascii="Times New Roman" w:cs="Times New Roman" w:eastAsia="Times New Roman" w:hAnsi="Times New Roman"/>
          <w:sz w:val="18"/>
          <w:szCs w:val="18"/>
          <w:color w:val="auto"/>
        </w:rPr>
      </w:pPr>
    </w:p>
    <w:p>
      <w:pPr>
        <w:ind w:left="1080" w:right="20" w:hanging="424"/>
        <w:spacing w:after="0" w:line="277" w:lineRule="auto"/>
        <w:tabs>
          <w:tab w:leader="none" w:pos="10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adoption, amendment and termination of Semnur’s stock option plans, stock appreciation rights plans, pension and profit sharing plans, incentive plans, stock bonus plans, stock purchase plans, bonus plans, deferred compensation plans, 401(k) plans, supplemental retirement plans and similar programs, if any, and the aggregate cash amounts and numbers of shares to be paid or reserved for issuance thereunder; and administering all such plans, establishing guidelines, interpreting plan documents, selecting participants, approving grants and awards and exercising such other power and authority as may be permitted or required under such plans;</w:t>
      </w:r>
    </w:p>
    <w:p>
      <w:pPr>
        <w:spacing w:after="0" w:line="73" w:lineRule="exact"/>
        <w:rPr>
          <w:rFonts w:ascii="Times New Roman" w:cs="Times New Roman" w:eastAsia="Times New Roman" w:hAnsi="Times New Roman"/>
          <w:sz w:val="17"/>
          <w:szCs w:val="17"/>
          <w:color w:val="auto"/>
        </w:rPr>
      </w:pPr>
    </w:p>
    <w:p>
      <w:pPr>
        <w:ind w:left="1080" w:right="240" w:hanging="424"/>
        <w:spacing w:after="0" w:line="266"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Semnur’s incentive compensation arrangements to determine whether such arrangements encourage excessive risk-taking, reviewing and discussing at least annually the relationship between Semnur’s risk management policies and practices and compensation and evaluating compensation policies and practices that could mitigate any such risk; and</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human capital management strategies, programs and policies, including, but not limited to, those regarding recruitment, retention, career development, diversity, equity and inclusion, pay equity, workplace culture and employee engagement.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In addition, once Semnur ceases to be an “emerging growth company,” as defined in the JOBS Act, the responsibilities of the Compensation Committee will also include:</w:t>
      </w:r>
    </w:p>
    <w:p>
      <w:pPr>
        <w:spacing w:after="0" w:line="67" w:lineRule="exact"/>
        <w:rPr>
          <w:sz w:val="20"/>
          <w:szCs w:val="20"/>
          <w:color w:val="auto"/>
        </w:rPr>
      </w:pPr>
    </w:p>
    <w:p>
      <w:pPr>
        <w:ind w:left="1080" w:right="4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appropriate executive officers of Semnur compensation-related proposals to be considered at Semnur’s annual meeting, including the Say on Pay Vote and the frequency of the Say on Pay Vote, and the results of any stockholder advisory votes and, based on such discussions, providing recommendations to the Board; and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Semnur’s Compensation Discussion and Analysis, and recommending to the Board that the Compensation Discussion and Analysis be approved for inclusion in Semnur’s annual reports on Form 10-K, registration statements, Semnur’s annual meeting proxy statements and information statements.</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The Compensation Committee will review, discuss and assess its own performance and composition at least annually. The Compensation Committee will also periodically review and assess the adequacy of its charter, including its role and responsibilities as outlined in its charter, and recommend any proposed changes to the Board for its consideration and approval. The composition and functioning of the Compensation Committee will comply with all applicable requirements of the Sarbanes-Oxley Act and all applicable SEC rules and Nasdaq Listing Rules. Semnur intends to comply with future requirements to the extent they become applicable to Semnur.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Semnur’s Nominating and Corporate Governance Committee consists of Jay Chun, M.D., Ph.D., Dorman Followwill and Yue Alexander Wu, Ph.D., with Dorman Followwill serving as the chairperson of the committee. Jay Chun, M.D., Ph.D., Dorman Followwill and Yue Alexander Wu, Ph.D. each satisfy the independence requirements under the Nasdaq Listing Rules. The responsibilities of the Nominating and Corporate Governance Committee are included in its written charter. The Nominating and Corporate Governance Committee acts on behalf of the Board to fulfill the Board’s responsibilities in overseeing all aspects of the company’s Nominating and corporate governance functions. The responsibilities of the Nominating and Corporate Governance Committee include, among others:</w:t>
      </w:r>
    </w:p>
    <w:p>
      <w:pPr>
        <w:spacing w:after="0" w:line="93" w:lineRule="exact"/>
        <w:rPr>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corporate governance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as directors (consistent with criteria approved by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minimum qualifications for service on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incumbent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director orientation and director continuing education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focal point for communication among candidates to the Board, non-committee directors and Semnur’s management;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for selection candidates to serve as nominees for director for the annual meeting of stockholders and to fill any vacancies on the Board and any committees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the Board regarding matters relating to the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plans for Semnur’s Chief Executive Officer and its other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matters of corporate responsibility and sustainability, including potential long- and short-term trends and impacts to Semnur’s business of environmental, social and governance issues, and its public reporting on these topics;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recommendations for nominees and proposals submitted by stockholders;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recommending modifications to Semnur’s insider trading policy, if necessary or advisable, to the Board.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periodically reviews, discusses and assesses the performance of the Board and the committees of the Board. In fulfilling this responsibility, the Nominating and Corporate Governance Committee seeks input from senior management, the Board and others. In assessing the Board, the Nominating and Corporate Governance Committee evaluates the overall composition of the Board, the Board’s contribution as a whole and its effectiveness in serving Semnur’s best interests and the best interests of Semnur’s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the Board for its consideration and approval. The composition and functioning of the nominating and corporate governance committee comply with all applicable requirements of the Sarbanes-Oxley Act and all applicable SEC rules and Nasdaq Listing Rules. Semnur intends to comply with future requirements to the extent they become applicable to Semnur.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and Transaction Committee</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Semnur’s commercialization and transaction committee (the “C&amp;T Committee”) consists of Jay Chun, M.D., Ph.D. and Henry Ji, Ph.D. The responsibilities of the C&amp;T Committee are included in its written charter. The C&amp;T Committee’s responsibilities include, among others, the following commercialization matters:</w:t>
      </w:r>
    </w:p>
    <w:p>
      <w:pPr>
        <w:spacing w:after="0" w:line="81"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strategic, directional and operational oversight and guidance to the Company regarding its commercial activities and operations;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alignment of the Company’s commercial and R&amp;D programs and progress with the Company’s strategic goals and objectives, taking into account the results of the Company’s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reviews of the Company’s product development pipeline, intellectual property portfolio and commercial strategies, including a review and analysis of the progress and results of the Company’s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key commercial and medical launch strategies prior to regulatory approval of new products or indications as well as the R&amp;D elements of the Company’s long-range plan and lifecycle management plans;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management on the scientific and R&amp;D aspects of business development opportunities, including licensing opportunities (both in-licensing and out-licensing), and M&amp;A opportunities;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312" w:lineRule="auto"/>
        <w:tabs>
          <w:tab w:leader="none" w:pos="10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approving, modify, monitoring and directing the process and procedures related to the review and evaluation of certain potential strategic transactions and determining whether to proceed with any such process, procedures, review or evaluation; and</w:t>
      </w:r>
    </w:p>
    <w:p>
      <w:pPr>
        <w:spacing w:after="0" w:line="45" w:lineRule="exact"/>
        <w:rPr>
          <w:rFonts w:ascii="Times New Roman" w:cs="Times New Roman" w:eastAsia="Times New Roman" w:hAnsi="Times New Roman"/>
          <w:sz w:val="17"/>
          <w:szCs w:val="17"/>
          <w:color w:val="auto"/>
        </w:rPr>
      </w:pPr>
    </w:p>
    <w:p>
      <w:pPr>
        <w:ind w:left="1080" w:right="100" w:hanging="424"/>
        <w:spacing w:after="0" w:line="258"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on behalf of the Board and the Company whether a possible strategic transaction is advisable and is fair to, and in the best interests of, the Company and its stockholders (or any subset of the stockholders of the Company that the C&amp;T Committee determines to be appropriate), rejecting or approving a possible strategic transaction, or recommending such rejection or approval to the Board, approving or recommending to the Board the consummation of a possible strategic transaction, and reviewing, evaluating and monitoring proceedings and activities of the Company related to certain potential strategic transactions.</w:t>
      </w:r>
    </w:p>
    <w:p>
      <w:pPr>
        <w:spacing w:after="0" w:line="183"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its charter, the C&amp;T Committee may form, and delegate authority to, subcommittees as appropriate. The C&amp;T Committee reviews, discusses and assesses its own performance at least annually. The C&amp;T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5"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Committee also periodically reviews the charter of the C&amp;T Committee and the compliance procedures in place to implement such charter and recommend necessary clarifications or changes to such charter to the Board for approval.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Semnur has adopted a written code of business conduct and ethics, which apply to Semnur’s directors, officers and employees, including Semnur’s principal executive officer, principal financial officer, principal accounting officer or controller, or persons performing similar functions. A current copy of Semnur’s code of business conduct and ethics is be posted on its website at </w:t>
      </w:r>
      <w:r>
        <w:rPr>
          <w:rFonts w:ascii="Times New Roman" w:cs="Times New Roman" w:eastAsia="Times New Roman" w:hAnsi="Times New Roman"/>
          <w:sz w:val="18"/>
          <w:szCs w:val="18"/>
          <w:i w:val="1"/>
          <w:iCs w:val="1"/>
          <w:color w:val="auto"/>
        </w:rPr>
        <w:t>www.semnurpharma.com</w:t>
      </w:r>
      <w:r>
        <w:rPr>
          <w:rFonts w:ascii="Times New Roman" w:cs="Times New Roman" w:eastAsia="Times New Roman" w:hAnsi="Times New Roman"/>
          <w:sz w:val="18"/>
          <w:szCs w:val="18"/>
          <w:color w:val="auto"/>
        </w:rPr>
        <w:t>. Information contained on or accessible through such website is not a part of this prospectus, and the inclusion of the website address in this prospectus is an inactive textual reference only. Semnur intends to disclose any amendments to its code of business conduct and ethics, or any waivers of its requirements, on its website to the extent required by the applicable rules and exchange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None of the members of Semnur’s Compensation Committee is currently, or has been at any time in the past year, one of Semnur’s officers or employees. Other than Mr. Ma and Dr. Ji none of Semnur’s executive officers currently serves, or has served during the last year, as a member of the board of directors or Compensation Committee of any entity that has one or more executive officers serving as a member of the Board or Compensation Committee. Please see the section of this prospectus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for information regarding the compensation of Mr. Ma and Dr. Ji.</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Charter and Bylaws contain provisions that limit the liability of Semnur’s directors for monetary damages to the fullest extent permitted by the DGCL. Consequently, Semnur’s directors are not personally liable to Semnur or its stockholders for monetary damages for any breach of fiduciary duties as directors, except liability for the following:</w:t>
      </w:r>
    </w:p>
    <w:p>
      <w:pPr>
        <w:spacing w:after="0" w:line="81" w:lineRule="exact"/>
        <w:rPr>
          <w:sz w:val="20"/>
          <w:szCs w:val="20"/>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Semnur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in violation of the DGCL;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officer, any action by or in the right of the corporation.</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Charter also provides that if the DGCL is amended to permit further elimination or limitation of the personal liability of directors or officers, then the liability of Semnur’s directors or officers will be eliminated or limited to the fullest extent permitted by the DGCL, as so amended.</w:t>
      </w:r>
    </w:p>
    <w:p>
      <w:pPr>
        <w:spacing w:after="0" w:line="162"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The Bylaws provide that Semnur shall indemnify any person who is or was a director or officer of Semnur or who is or was serving at Semnur’s request as a director, officer or trustee of another corporation, limited liability company, partnership, joint venture, employee benefit plan, trust, nonprofit entity or other enterprise (a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Semnur or as a director, officer or trustee of another corporation, limited liability company, partnership, joint venture, employee benefit plan, trust, nonprofit entity or other enterprise (to the extent serving</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such position at the request of Semnur), in each case against all liability and loss suffered (including, without limitation, any judgments, fines, excise taxes or penalties arising under the Employee Retirement Income Security Act of 1974 and amounts paid in settlement consented to in writing by Semnur) and expenses (including attorneys’ fees), actually and reasonably incurred by such person in connection therewith, subject to certain conditions. In addition, the Bylaws provide that Semnur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Semnur’s expense, to protect Semnur and any person who is or was a director, officer, employee or agent of Semnur or is or was a director, officer, employee or agent of Semnur serving at its request as a director, officer, employee or agent of another corporation, limited liability company, partnership, joint venture, trust, employee benefit plan or other enterprise against any liability, expense or loss, whether or not Semnur would have the power or obligation to indemnify such person against such liability, expense or loss under the DGCL or the provisions of the Bylaws.</w:t>
      </w:r>
    </w:p>
    <w:p>
      <w:pPr>
        <w:spacing w:after="0" w:line="194"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Semnur has entered into indemnification agreements with each of its directors and executive officers as determined by the Board. These agreements, among other things, require Semnur to indemnify its directors and executive officers against liabilities that may arise by reason of their status or service. These indemnification agreements also require Semnur to advance all expenses actually and reasonably incurred by the directors and executive officers in connection with any proceeding. Semnur believes that these agreements are necessary to attract and retain qualified individuals to serve as directors and executive officers. Semnur also maintains directors’ and officers’ liability insurance.</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above description of the indemnification provisions of the Charter, the Bylaws and the indemnification agreements is not complete and is qualified in its entirety by reference to these documents, each of which is filed as an exhibit to the registration statement of which this prospectus is a part. Certain of Semnur’s non-employee directors may, through their relationships with their employers, be insured or indemnified against certain liabilities incurred in their capacity as members of the Board.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Semnur’s directors and officers for breach of their fiduciary duty. They may also reduce the likelihood of derivative litigation against Semnur’s directors and officers, even though an action, if successful, might benefit Semnur and its stockholders. In addition, a stockholder’s investment may be adversely affected to the extent Semnur pay the costs of settlement and damage awards against directors and officers pursuant to these indemnification provisions. Insofar as indemnification for liabilities arising under the Securities Act may be permitted to directors or executive officers, Semnur has been informed that in the opinion of the SEC, such indemnification is against public policy and is therefore unenforceable. At present, there is no pending litigation or proceeding involving any of Semnur’s or Semnur’s directors or executive officers as to which indemnification is required or permitted, and Semnur and Semnur are not aware of any threatened litigation or proceeding that may result in a claim for indemnification.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April 30, 2026 by:</w:t>
      </w:r>
    </w:p>
    <w:p>
      <w:pPr>
        <w:spacing w:after="0" w:line="117" w:lineRule="exact"/>
        <w:rPr>
          <w:sz w:val="20"/>
          <w:szCs w:val="20"/>
          <w:color w:val="auto"/>
        </w:rPr>
      </w:pPr>
    </w:p>
    <w:p>
      <w:pPr>
        <w:ind w:left="980" w:right="2200"/>
        <w:spacing w:after="0" w:line="442" w:lineRule="auto"/>
        <w:rPr>
          <w:sz w:val="20"/>
          <w:szCs w:val="20"/>
          <w:color w:val="auto"/>
        </w:rPr>
      </w:pPr>
      <w:r>
        <w:rPr>
          <w:rFonts w:ascii="Times New Roman" w:cs="Times New Roman" w:eastAsia="Times New Roman" w:hAnsi="Times New Roman"/>
          <w:sz w:val="18"/>
          <w:szCs w:val="18"/>
          <w:color w:val="auto"/>
        </w:rPr>
        <w:t>each person or “group” known to be the beneficial owner of more than 5% of our outstanding Common Stock; each of our named executive officers and directors; and all of our executive officers and directors as a group.</w:t>
      </w:r>
    </w:p>
    <w:p>
      <w:pPr>
        <w:spacing w:after="0" w:line="31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April 30, 2026 are considered outstanding and beneficially owned by the person holding such options or warrants for the purpose of computing the percentage ownership of that person, but are not treated as outstanding for the purpose of computing the percentage ownership of any other person.</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beneficial ownership of our Common Stock is based on 230,209,142 shares of such Common Stock outstanding as of April 30, 2026. Voting power is based on 230,209,142 shares of Common Stock and 5,423,606 shares of Series A Preferred Stock outstanding as April 30, 2026. Shares of Series A Preferred Stock are held solely by Scilex.</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based on information available to us, that all persons and entities named in the table have sole voting and investment power with respect to all shares shown as beneficially owned by them.</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00" w:type="dxa"/>
            <w:vAlign w:val="bottom"/>
          </w:tcPr>
          <w:p>
            <w:pPr>
              <w:spacing w:after="0"/>
              <w:rPr>
                <w:sz w:val="15"/>
                <w:szCs w:val="15"/>
                <w:color w:val="auto"/>
              </w:rPr>
            </w:pPr>
          </w:p>
        </w:tc>
        <w:tc>
          <w:tcPr>
            <w:tcW w:w="1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11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of</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0"/>
                <w:szCs w:val="10"/>
                <w:b w:val="1"/>
                <w:bCs w:val="1"/>
                <w:color w:val="auto"/>
              </w:rPr>
              <w:t>(1)</w:t>
            </w: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60" w:type="dxa"/>
            <w:vAlign w:val="bottom"/>
            <w:gridSpan w:val="2"/>
            <w:vMerge w:val="continue"/>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360" w:type="dxa"/>
            <w:vAlign w:val="bottom"/>
            <w:gridSpan w:val="2"/>
            <w:vMerge w:val="continue"/>
          </w:tcPr>
          <w:p>
            <w:pPr>
              <w:spacing w:after="0"/>
              <w:rPr>
                <w:sz w:val="13"/>
                <w:szCs w:val="13"/>
                <w:color w:val="auto"/>
              </w:rPr>
            </w:pPr>
          </w:p>
        </w:tc>
        <w:tc>
          <w:tcPr>
            <w:tcW w:w="13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460" w:type="dxa"/>
            <w:vAlign w:val="bottom"/>
            <w:gridSpan w:val="2"/>
          </w:tcPr>
          <w:p>
            <w:pPr>
              <w:jc w:val="right"/>
              <w:ind w:right="50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10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Vote</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Henry Ji, Ph.D.</w:t>
            </w:r>
            <w:r>
              <w:rPr>
                <w:rFonts w:ascii="Times New Roman" w:cs="Times New Roman" w:eastAsia="Times New Roman" w:hAnsi="Times New Roman"/>
                <w:sz w:val="25"/>
                <w:szCs w:val="25"/>
                <w:color w:val="auto"/>
                <w:vertAlign w:val="superscript"/>
              </w:rPr>
              <w:t>(2)</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10,026,041</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4.17%</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Jaisim Shah</w:t>
            </w:r>
            <w:r>
              <w:rPr>
                <w:rFonts w:ascii="Times New Roman" w:cs="Times New Roman" w:eastAsia="Times New Roman" w:hAnsi="Times New Roman"/>
                <w:sz w:val="25"/>
                <w:szCs w:val="25"/>
                <w:color w:val="auto"/>
                <w:vertAlign w:val="superscript"/>
              </w:rPr>
              <w:t>(3)</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8,203,125</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3.44%</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Stephen Ma</w:t>
            </w:r>
            <w:r>
              <w:rPr>
                <w:rFonts w:ascii="Times New Roman" w:cs="Times New Roman" w:eastAsia="Times New Roman" w:hAnsi="Times New Roman"/>
                <w:sz w:val="25"/>
                <w:szCs w:val="25"/>
                <w:color w:val="auto"/>
                <w:vertAlign w:val="superscript"/>
              </w:rPr>
              <w:t>(4)</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1,145,833</w:t>
            </w: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Chun, M.D., Ph.D.</w:t>
            </w:r>
          </w:p>
        </w:tc>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Dorman Followwill</w:t>
            </w:r>
          </w:p>
        </w:tc>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 Navani, M.D.</w:t>
            </w:r>
          </w:p>
        </w:tc>
        <w:tc>
          <w:tcPr>
            <w:tcW w:w="13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 Alexander Wu, Ph.D.</w:t>
            </w:r>
          </w:p>
        </w:tc>
        <w:tc>
          <w:tcPr>
            <w:tcW w:w="13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(5 individuals)</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10,663,963</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4.65%</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5% Beneficial Owners</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Scilex Holding Company</w:t>
            </w:r>
            <w:r>
              <w:rPr>
                <w:rFonts w:ascii="Times New Roman" w:cs="Times New Roman" w:eastAsia="Times New Roman" w:hAnsi="Times New Roman"/>
                <w:sz w:val="25"/>
                <w:szCs w:val="25"/>
                <w:color w:val="auto"/>
                <w:vertAlign w:val="superscript"/>
              </w:rPr>
              <w:t>(5)</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188,554,849</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81.91%</w:t>
            </w: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5,423,606</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35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Biconomy PTE.LTD</w:t>
            </w:r>
            <w:r>
              <w:rPr>
                <w:rFonts w:ascii="Times New Roman" w:cs="Times New Roman" w:eastAsia="Times New Roman" w:hAnsi="Times New Roman"/>
                <w:sz w:val="26"/>
                <w:szCs w:val="26"/>
                <w:color w:val="auto"/>
                <w:vertAlign w:val="superscript"/>
              </w:rPr>
              <w:t>(6)</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12,500,000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5.43%</w:t>
            </w: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individuals is 960 San Antonio Road, Palo Alto, CA 94303.</w:t>
      </w:r>
    </w:p>
    <w:p>
      <w:pPr>
        <w:spacing w:after="0" w:line="9"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10,026,041 shares issuable upon exercise of options exercisable within 60 days of April 30, 2026. Until the date on which all payments and all obligations under the Oramed Note have been paid in full in cash, the options will not be or become exercisable, eligible for exchange, redemption or repurchase,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eligible to participate in any dividends or distributions (including the proceeds of any corporate transaction) or have any voting rights in respect of, among other things, the Company or any of its respective current and future subsidiaries, successors and assigns.</w:t>
      </w:r>
    </w:p>
    <w:p>
      <w:pPr>
        <w:ind w:left="5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8,203,125 shares issuable upon exercise of options exercisable within 60 days of April 30, 2026. 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1,145,833 shares issuable upon exercise of options exercisable within 60 days of April 30, 2026. Until the date on which all payments and all obligations under the Oramed Note have been paid in full in cash, the options will not be or become exercisable, eligible for exchange, redemption or repurchase, eligible to participate in any dividends or distributions (including the proceeds of any corporate transaction) or have any voting rights in respect of, among other things, the Company or any of its respective current and future subsidiaries, successors and assigns.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500,000 shares held directly, 181,804,849 shares held by Scilex, Inc., a wholly owned subsidiary of Scilex, with whom it shares voting and investment control, and 6,250,000 shares held by Scilex Bio, Inc., a majority owned subsidiary of Scilex, with whom it shares voting and investment control.</w:t>
      </w:r>
    </w:p>
    <w:p>
      <w:pPr>
        <w:spacing w:after="0" w:line="1" w:lineRule="exact"/>
        <w:rPr>
          <w:rFonts w:ascii="Times New Roman" w:cs="Times New Roman" w:eastAsia="Times New Roman" w:hAnsi="Times New Roman"/>
          <w:sz w:val="18"/>
          <w:szCs w:val="18"/>
          <w:color w:val="auto"/>
        </w:rPr>
      </w:pPr>
    </w:p>
    <w:p>
      <w:pPr>
        <w:jc w:val="both"/>
        <w:ind w:left="540" w:right="40" w:hanging="424"/>
        <w:spacing w:after="0" w:line="290" w:lineRule="auto"/>
        <w:tabs>
          <w:tab w:leader="none" w:pos="5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554,849 shares of Common Stock purchased from Scilex and (ii) 11,945,151 shares of Common Stock purchased from Scilex, Inc. Biconomy’s address is 1st Floor, Ellen Skelton Building, 3076 Sir Francis Drake’s Highway, Road Town, Tortola, VG1110, British Virgin Islands.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relates to the offer and sale from time to time by:</w:t>
      </w:r>
    </w:p>
    <w:p>
      <w:pPr>
        <w:spacing w:after="0" w:line="131" w:lineRule="exact"/>
        <w:rPr>
          <w:sz w:val="20"/>
          <w:szCs w:val="20"/>
          <w:color w:val="auto"/>
        </w:rPr>
      </w:pPr>
    </w:p>
    <w:p>
      <w:pPr>
        <w:jc w:val="both"/>
        <w:ind w:left="1540" w:right="420" w:hanging="439"/>
        <w:spacing w:after="0" w:line="266"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of up to an aggregate of 203,737,349 Resale Shares, consisting of: (i) up to 2,072,500 Sponsor Shares; (ii) up to 188,554,849 Scilex Shares; (iii) up to 510,000 Private Warrant Shares issuable pursuant to Private Warrants; (iv) up to 100,000 Underwriter Shares; (v) up to 12,500,000 Biconomy Resale Shares; and</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Warrantholders, of up to 510,000 Private Warrants.</w:t>
      </w:r>
    </w:p>
    <w:p>
      <w:pPr>
        <w:spacing w:after="0" w:line="22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A description of our relationships with certain of the Selling Securityholders and their affiliates is set forth in “</w:t>
      </w:r>
      <w:r>
        <w:rPr>
          <w:rFonts w:ascii="Times New Roman" w:cs="Times New Roman" w:eastAsia="Times New Roman" w:hAnsi="Times New Roman"/>
          <w:sz w:val="18"/>
          <w:szCs w:val="18"/>
          <w:i w:val="1"/>
          <w:iCs w:val="1"/>
          <w:color w:val="auto"/>
        </w:rPr>
        <w:t>Certain Relationships and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 Transactions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shares of Common Stock or Warrants. In particular, the Selling Securityholders identified below may have sold, transferred or otherwise disposed of all or a portion of their securities after the date on which they provided us with information regarding their securities in transactions exempt from registration under the Securities Act. Information about the Selling Securityholders may change over time. Any changed information will be set forth in a prospectus supplement or amendments to the registration statement of which this prospectus is a part, if and when required. Any prospectus supplement or amendments to the registration statement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footnotes below, no Selling Securityholder has had any material relationship with us or any of our affiliates within the past three years other than as a securityholder.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provided by or on behalf of the Selling Securityholders as of April 30, 2026 concerning the Resale Shares and Warrants that may be offered from time to time by each Selling Securityholder with this prospectus.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the purposes of the following table, we have assumed that the Selling Securityholders will have sold all of the securities covered by this prospectus upon the completion of the offering. The beneficial ownership of Common Stock is based on 230,209,142 shares of such Common Stock outstanding as of April 30, 2026.</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 Ownership of</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2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2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8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Prior to</w:t>
            </w:r>
          </w:p>
        </w:tc>
        <w:tc>
          <w:tcPr>
            <w:tcW w:w="10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22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are Sold</w:t>
            </w:r>
          </w:p>
        </w:tc>
        <w:tc>
          <w:tcPr>
            <w:tcW w:w="2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17"/>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22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Owned Prior</w:t>
            </w:r>
          </w:p>
        </w:tc>
        <w:tc>
          <w:tcPr>
            <w:tcW w:w="11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Offered</w:t>
            </w:r>
          </w:p>
        </w:tc>
        <w:tc>
          <w:tcPr>
            <w:tcW w:w="0" w:type="dxa"/>
            <w:vAlign w:val="bottom"/>
          </w:tcPr>
          <w:p>
            <w:pPr>
              <w:spacing w:after="0"/>
              <w:rPr>
                <w:sz w:val="1"/>
                <w:szCs w:val="1"/>
                <w:color w:val="auto"/>
              </w:rPr>
            </w:pPr>
          </w:p>
        </w:tc>
      </w:tr>
      <w:tr>
        <w:trPr>
          <w:trHeight w:val="146"/>
        </w:trPr>
        <w:tc>
          <w:tcPr>
            <w:tcW w:w="3280" w:type="dxa"/>
            <w:vAlign w:val="bottom"/>
            <w:gridSpan w:val="2"/>
            <w:vMerge w:val="continue"/>
          </w:tcPr>
          <w:p>
            <w:pPr>
              <w:spacing w:after="0"/>
              <w:rPr>
                <w:sz w:val="12"/>
                <w:szCs w:val="12"/>
                <w:color w:val="auto"/>
              </w:rPr>
            </w:pPr>
          </w:p>
        </w:tc>
        <w:tc>
          <w:tcPr>
            <w:tcW w:w="122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to the</w:t>
            </w: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1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1920" w:type="dxa"/>
            <w:vAlign w:val="bottom"/>
          </w:tcPr>
          <w:p>
            <w:pPr>
              <w:spacing w:after="0"/>
              <w:rPr>
                <w:sz w:val="15"/>
                <w:szCs w:val="15"/>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60" w:type="dxa"/>
            <w:vAlign w:val="bottom"/>
            <w:gridSpan w:val="2"/>
            <w:vMerge w:val="continue"/>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Being Offered</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Scilex Holding Company</w:t>
            </w:r>
            <w:r>
              <w:rPr>
                <w:rFonts w:ascii="Times New Roman" w:cs="Times New Roman" w:eastAsia="Times New Roman" w:hAnsi="Times New Roman"/>
                <w:sz w:val="23"/>
                <w:szCs w:val="23"/>
                <w:color w:val="auto"/>
                <w:vertAlign w:val="superscript"/>
              </w:rPr>
              <w:t>(1)</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Scilex, Inc.</w:t>
            </w:r>
            <w:r>
              <w:rPr>
                <w:rFonts w:ascii="Times New Roman" w:cs="Times New Roman" w:eastAsia="Times New Roman" w:hAnsi="Times New Roman"/>
                <w:sz w:val="25"/>
                <w:szCs w:val="25"/>
                <w:color w:val="auto"/>
                <w:vertAlign w:val="superscript"/>
              </w:rPr>
              <w:t>(1)</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181,804,849</w:t>
            </w:r>
          </w:p>
        </w:tc>
        <w:tc>
          <w:tcPr>
            <w:tcW w:w="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78.97</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181,804,849</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Scilex Bio, Inc.</w:t>
            </w:r>
            <w:r>
              <w:rPr>
                <w:rFonts w:ascii="Times New Roman" w:cs="Times New Roman" w:eastAsia="Times New Roman" w:hAnsi="Times New Roman"/>
                <w:sz w:val="25"/>
                <w:szCs w:val="25"/>
                <w:color w:val="auto"/>
                <w:vertAlign w:val="superscript"/>
              </w:rPr>
              <w:t>(1)</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6,250,000</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Jim Mao</w:t>
            </w:r>
            <w:r>
              <w:rPr>
                <w:rFonts w:ascii="Times New Roman" w:cs="Times New Roman" w:eastAsia="Times New Roman" w:hAnsi="Times New Roman"/>
                <w:sz w:val="25"/>
                <w:szCs w:val="25"/>
                <w:color w:val="auto"/>
                <w:vertAlign w:val="superscript"/>
              </w:rPr>
              <w:t>(2)</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Lei Huang</w:t>
            </w:r>
            <w:r>
              <w:rPr>
                <w:rFonts w:ascii="Times New Roman" w:cs="Times New Roman" w:eastAsia="Times New Roman" w:hAnsi="Times New Roman"/>
                <w:sz w:val="25"/>
                <w:szCs w:val="25"/>
                <w:color w:val="auto"/>
                <w:vertAlign w:val="superscript"/>
              </w:rPr>
              <w:t>(3)</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Huifeng Chang</w:t>
            </w:r>
            <w:r>
              <w:rPr>
                <w:rFonts w:ascii="Times New Roman" w:cs="Times New Roman" w:eastAsia="Times New Roman" w:hAnsi="Times New Roman"/>
                <w:sz w:val="25"/>
                <w:szCs w:val="25"/>
                <w:color w:val="auto"/>
                <w:vertAlign w:val="superscript"/>
              </w:rPr>
              <w:t>(4)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You “Patrick” Sun</w:t>
            </w:r>
            <w:r>
              <w:rPr>
                <w:rFonts w:ascii="Times New Roman" w:cs="Times New Roman" w:eastAsia="Times New Roman" w:hAnsi="Times New Roman"/>
                <w:sz w:val="25"/>
                <w:szCs w:val="25"/>
                <w:color w:val="auto"/>
                <w:vertAlign w:val="superscript"/>
              </w:rPr>
              <w:t>(5)</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Kevin Vassily</w:t>
            </w:r>
            <w:r>
              <w:rPr>
                <w:rFonts w:ascii="Times New Roman" w:cs="Times New Roman" w:eastAsia="Times New Roman" w:hAnsi="Times New Roman"/>
                <w:sz w:val="25"/>
                <w:szCs w:val="25"/>
                <w:color w:val="auto"/>
                <w:vertAlign w:val="superscript"/>
              </w:rPr>
              <w:t>(6)</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1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Jiandong Xu</w:t>
            </w:r>
            <w:r>
              <w:rPr>
                <w:rFonts w:ascii="Times New Roman" w:cs="Times New Roman" w:eastAsia="Times New Roman" w:hAnsi="Times New Roman"/>
                <w:sz w:val="25"/>
                <w:szCs w:val="25"/>
                <w:color w:val="auto"/>
                <w:vertAlign w:val="superscript"/>
              </w:rPr>
              <w:t>(7)</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2,202,500</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510,000</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2,202,500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510,000</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9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Beneficial Ownership of</w:t>
            </w: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3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96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Prior to</w:t>
            </w:r>
          </w:p>
        </w:tc>
        <w:tc>
          <w:tcPr>
            <w:tcW w:w="112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3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Borders>
              <w:bottom w:val="single" w:sz="8" w:color="auto"/>
            </w:tcBorders>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are Sold</w:t>
            </w:r>
          </w:p>
        </w:tc>
        <w:tc>
          <w:tcPr>
            <w:tcW w:w="30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w:t>
            </w:r>
          </w:p>
        </w:tc>
        <w:tc>
          <w:tcPr>
            <w:tcW w:w="0" w:type="dxa"/>
            <w:vAlign w:val="bottom"/>
          </w:tcPr>
          <w:p>
            <w:pPr>
              <w:spacing w:after="0"/>
              <w:rPr>
                <w:sz w:val="1"/>
                <w:szCs w:val="1"/>
                <w:color w:val="auto"/>
              </w:rPr>
            </w:pPr>
          </w:p>
        </w:tc>
      </w:tr>
      <w:tr>
        <w:trPr>
          <w:trHeight w:val="117"/>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12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Owned Prior</w:t>
            </w:r>
          </w:p>
        </w:tc>
        <w:tc>
          <w:tcPr>
            <w:tcW w:w="11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Offered</w:t>
            </w:r>
          </w:p>
        </w:tc>
        <w:tc>
          <w:tcPr>
            <w:tcW w:w="0" w:type="dxa"/>
            <w:vAlign w:val="bottom"/>
          </w:tcPr>
          <w:p>
            <w:pPr>
              <w:spacing w:after="0"/>
              <w:rPr>
                <w:sz w:val="1"/>
                <w:szCs w:val="1"/>
                <w:color w:val="auto"/>
              </w:rPr>
            </w:pPr>
          </w:p>
        </w:tc>
      </w:tr>
      <w:tr>
        <w:trPr>
          <w:trHeight w:val="146"/>
        </w:trPr>
        <w:tc>
          <w:tcPr>
            <w:tcW w:w="2880" w:type="dxa"/>
            <w:vAlign w:val="bottom"/>
            <w:gridSpan w:val="2"/>
            <w:vMerge w:val="continue"/>
          </w:tcPr>
          <w:p>
            <w:pPr>
              <w:spacing w:after="0"/>
              <w:rPr>
                <w:sz w:val="12"/>
                <w:szCs w:val="12"/>
                <w:color w:val="auto"/>
              </w:rPr>
            </w:pPr>
          </w:p>
        </w:tc>
        <w:tc>
          <w:tcPr>
            <w:tcW w:w="12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to the</w:t>
            </w:r>
          </w:p>
        </w:tc>
        <w:tc>
          <w:tcPr>
            <w:tcW w:w="11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Stock Being</w:t>
            </w:r>
          </w:p>
        </w:tc>
        <w:tc>
          <w:tcPr>
            <w:tcW w:w="11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Pr>
          <w:p>
            <w:pPr>
              <w:spacing w:after="0"/>
              <w:rPr>
                <w:sz w:val="12"/>
                <w:szCs w:val="12"/>
                <w:color w:val="auto"/>
              </w:rPr>
            </w:pPr>
          </w:p>
        </w:tc>
        <w:tc>
          <w:tcPr>
            <w:tcW w:w="8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82"/>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152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Being Offered</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FutureTech Capital LLC</w:t>
            </w:r>
            <w:r>
              <w:rPr>
                <w:rFonts w:ascii="Times New Roman" w:cs="Times New Roman" w:eastAsia="Times New Roman" w:hAnsi="Times New Roman"/>
                <w:sz w:val="23"/>
                <w:szCs w:val="23"/>
                <w:color w:val="auto"/>
                <w:vertAlign w:val="superscript"/>
              </w:rPr>
              <w:t>(8)</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250,000</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US Tiger</w:t>
            </w:r>
            <w:r>
              <w:rPr>
                <w:rFonts w:ascii="Times New Roman" w:cs="Times New Roman" w:eastAsia="Times New Roman" w:hAnsi="Times New Roman"/>
                <w:sz w:val="25"/>
                <w:szCs w:val="25"/>
                <w:color w:val="auto"/>
                <w:vertAlign w:val="superscript"/>
              </w:rPr>
              <w:t>(9)</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 Boral</w:t>
            </w:r>
            <w:r>
              <w:rPr>
                <w:rFonts w:ascii="Times New Roman" w:cs="Times New Roman" w:eastAsia="Times New Roman" w:hAnsi="Times New Roman"/>
                <w:sz w:val="25"/>
                <w:szCs w:val="25"/>
                <w:color w:val="auto"/>
                <w:vertAlign w:val="superscript"/>
              </w:rPr>
              <w:t>(10)</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50,000</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Biconomy</w:t>
            </w:r>
            <w:r>
              <w:rPr>
                <w:rFonts w:ascii="Times New Roman" w:cs="Times New Roman" w:eastAsia="Times New Roman" w:hAnsi="Times New Roman"/>
                <w:sz w:val="26"/>
                <w:szCs w:val="26"/>
                <w:color w:val="auto"/>
                <w:vertAlign w:val="superscript"/>
              </w:rPr>
              <w:t>(11)</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12,500,000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12,500,000</w:t>
            </w: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4"/>
                <w:szCs w:val="24"/>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right="2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Scilex Holding Company is our parent company and, directly and indirectly through its subsidiaries Scilex, Inc. and Scilex Bio, Inc., holds over 80% of our outstanding Common Stock. The address of the Selling Securityholder is 960 San Antonio Road, Palo Alto, CA 94303.</w:t>
      </w:r>
    </w:p>
    <w:p>
      <w:pPr>
        <w:ind w:left="540" w:right="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Mao served as a member of our Board from April 2022 to September 2025. The address of the Selling Securityholder is P.O. Box 612114, San Jose, CA 95161.</w:t>
      </w:r>
    </w:p>
    <w:p>
      <w:pPr>
        <w:ind w:left="540" w:right="3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Huang served as Chief Executive Officer and as a member of our Board from January 2022 to September 2025. The address of the Selling Securityholder is 3 Stoner Ave, Great Neck, NY 11021.</w:t>
      </w:r>
    </w:p>
    <w:p>
      <w:pPr>
        <w:ind w:left="540" w:right="22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served as a member of our Board from April 2022 to September 2025. The address of the Selling Securityholder is 10 Eastern Drive, Princeton Junction, NJ 08550.</w:t>
      </w:r>
    </w:p>
    <w:p>
      <w:pPr>
        <w:ind w:left="540" w:right="4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Sun served as Chief Financial Officer from January 2022 to September 2025. The address of the Selling Securityholder is 6115 Tarcutta Ridge Lane, Sugar Land, TX 77479.</w:t>
      </w:r>
    </w:p>
    <w:p>
      <w:pPr>
        <w:ind w:left="540" w:right="40" w:hanging="424"/>
        <w:spacing w:after="0" w:line="204"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Vassily served as a member of our Board from April 2022 to September 2025. The address of the Selling Securityholder is 3335 SW 86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 Portland, OR 97225.</w:t>
      </w:r>
    </w:p>
    <w:p>
      <w:pPr>
        <w:spacing w:after="0" w:line="1" w:lineRule="exact"/>
        <w:rPr>
          <w:rFonts w:ascii="Times New Roman" w:cs="Times New Roman" w:eastAsia="Times New Roman" w:hAnsi="Times New Roman"/>
          <w:sz w:val="18"/>
          <w:szCs w:val="18"/>
          <w:color w:val="auto"/>
        </w:rPr>
      </w:pPr>
    </w:p>
    <w:p>
      <w:pPr>
        <w:ind w:left="540" w:right="580" w:hanging="424"/>
        <w:spacing w:after="0" w:line="250"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Xu is a member Denali Capital Global Investments LLC, which was our sponsor prior to the closing of the Business Combination. The address of the Selling Securityholder is 11 Meadow Ln, Manhasset, NY 11030.</w:t>
      </w:r>
    </w:p>
    <w:p>
      <w:pPr>
        <w:ind w:left="540" w:hanging="424"/>
        <w:spacing w:after="0"/>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Selling Securityholder is 128 Gail Dr. New Rochelle, NY 10805.</w:t>
      </w:r>
    </w:p>
    <w:p>
      <w:pPr>
        <w:spacing w:after="0" w:line="9" w:lineRule="exact"/>
        <w:rPr>
          <w:rFonts w:ascii="Times New Roman" w:cs="Times New Roman" w:eastAsia="Times New Roman" w:hAnsi="Times New Roman"/>
          <w:sz w:val="18"/>
          <w:szCs w:val="18"/>
          <w:color w:val="auto"/>
        </w:rPr>
      </w:pPr>
    </w:p>
    <w:p>
      <w:pPr>
        <w:ind w:left="540" w:right="600" w:hanging="424"/>
        <w:spacing w:after="0" w:line="205"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Tiger acted as an underwriter in the Company’s IPO and received 50,000 shares of Common Stock as deferred compensation for such underwriter services. The address of the Selling Securityholder is 437 Madison Avenue,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 New York, NY 10022.</w:t>
      </w:r>
    </w:p>
    <w:p>
      <w:pPr>
        <w:spacing w:after="0" w:line="1" w:lineRule="exact"/>
        <w:rPr>
          <w:rFonts w:ascii="Times New Roman" w:cs="Times New Roman" w:eastAsia="Times New Roman" w:hAnsi="Times New Roman"/>
          <w:sz w:val="18"/>
          <w:szCs w:val="18"/>
          <w:color w:val="auto"/>
        </w:rPr>
      </w:pPr>
    </w:p>
    <w:p>
      <w:pPr>
        <w:ind w:left="540" w:right="740" w:hanging="424"/>
        <w:spacing w:after="0" w:line="204"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Boral acted as an underwriter in the Company’s IPO and received 50,000 shares of Common Stock as deferred compensation for such underwriter services. The address of the Selling Securityholder is 590 Madison Avenue, 39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 New York, NY 10022.</w:t>
      </w:r>
    </w:p>
    <w:p>
      <w:pPr>
        <w:spacing w:after="0" w:line="1" w:lineRule="exact"/>
        <w:rPr>
          <w:rFonts w:ascii="Times New Roman" w:cs="Times New Roman" w:eastAsia="Times New Roman" w:hAnsi="Times New Roman"/>
          <w:sz w:val="18"/>
          <w:szCs w:val="18"/>
          <w:color w:val="auto"/>
        </w:rPr>
      </w:pPr>
    </w:p>
    <w:p>
      <w:pPr>
        <w:ind w:left="540" w:right="380" w:hanging="424"/>
        <w:spacing w:after="0" w:line="254"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554,849 shares of Common Stock purchased from Scilex Holding Company and (ii) 11,945,151 shares of Common Stock purchased from Scilex, Inc. Biconomy’s address is 1st Floor, Ellen Skelton Building, 3076 Sir Francis Drake’s Highway, Road Town, Tortola, VG1110, British Virgin Islands.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are registering the issuance by us of up to an aggregate of 7,432,122 shares of Common Stock, comprised of (i) 510,000 Private Warrant Shares and (ii) 6,922,122 Public Warrants Shares.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also registering the offer and sale from time to time by:</w:t>
      </w:r>
    </w:p>
    <w:p>
      <w:pPr>
        <w:spacing w:after="0" w:line="225" w:lineRule="exact"/>
        <w:rPr>
          <w:sz w:val="20"/>
          <w:szCs w:val="20"/>
          <w:color w:val="auto"/>
        </w:rPr>
      </w:pPr>
    </w:p>
    <w:p>
      <w:pPr>
        <w:jc w:val="both"/>
        <w:ind w:left="120" w:right="460" w:firstLine="436"/>
        <w:spacing w:after="0" w:line="266" w:lineRule="auto"/>
        <w:tabs>
          <w:tab w:leader="none" w:pos="8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of up to an aggregate of 203,737,349 Resale Shares, consisting of: (i) up to 2,072,500 Sponsor Shares; (ii) up to 188,554,849 Scilex Shares; and (iii) up to 510,000 Private Warrant Shares; (iv) up to 100,000 Underwriter Shares; (v) up to 12,500,000 Biconomy Resale Shares;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Warrantholders of up to 510,000 Private Warrants.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the securities offered by them described in this prospectus, except with respect to amounts received by us upon the exercise of the Private Warrants for cash. The aggregate proceeds to the Selling Securityholders will be the purchase price of the securities less any discounts and commissions borne by the Selling Securityholders.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are required to pay all other fees and expenses incident to the registration of the securities to be offered and sold pursuant to this prospectus.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shares of Common Stock and the Private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also registering the issuance by us of up to 6,922,122 shares of our Common Stock that are issuable upon exercise of the Public Warrants.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receive proceeds from the Public Warrants exercised in the event that such Public Warrants are exercised for cash.</w:t>
      </w:r>
    </w:p>
    <w:p>
      <w:pPr>
        <w:spacing w:after="0" w:line="20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Selling Securityholders may sell their shares and warrants by one or more of, or a combination of, the following methods:</w:t>
      </w:r>
    </w:p>
    <w:p>
      <w:pPr>
        <w:spacing w:after="0" w:line="131"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offered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 on which the shares are listed or admitted to trading;</w:t>
      </w:r>
    </w:p>
    <w:p>
      <w:pPr>
        <w:spacing w:after="0" w:line="67"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securities by any Selling Securityholder to its partners, members or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 or warrant;</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Selling Securityholders will sell all or any of the securities offered by this prospectus. In addition, any shares that qualify for sale pursuant to Rule 144 may be sold under Rule 144 rather than pursuant to this prospectus. The Selling Securityholders have the sole and absolute discretion not to accept any purchase offer or make any sale of securities if they deem the purchase price to be unsatisfactory at any particular time.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agreement(s) governing the registration rights applicable to a Selling Securityholder’s shares of Common Stock, such Selling Securityholder may transfer shares of Common Stock to one or more “permitted transferees” in accordance with such agreements and, if so transferred, such permitted transferee(s) will be the selling beneficial owner(s) for purposes of this prospectus. Upon being notified by a Selling Securityholder that it intends to sell our securities, we will, to the extent required, promptly file a supplement to this prospectus to name specifically such person as a Selling Securityholder.</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to the extent required, the following information:</w:t>
      </w:r>
    </w:p>
    <w:p>
      <w:pPr>
        <w:spacing w:after="0" w:line="81"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securities to be offered and sold;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Selling Securityholders;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purchase prices and public offering prices, the proceeds to be received from the sale, if any, and other material terms of the offering;</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320" w:top="455" w:right="5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participating agents, broker-dealers or underwriters, if not already named herein;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commissions, discounts, concessions and other items constituting compensation from the Selling Securityholders.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distributions of the Resale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offered by this prospectus,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8"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Common Stock and Public Warrants are currently traded on the Pink Limited Market of the OTC Markets under the symbols “SMNR” and “SMNRW,” respectively.</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76"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offering the shares covered by this prospectus, the Selling Securityholders and any broker-dealers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5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the certificate evidencing such Warrant, with the form of election to purchase set forth thereon, properly completed and duly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5"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Semnur’s securities. The following summary does not purport to be complete and is subject to the Charter, the Bylaws and the provisions of applicable law. A copy of the Charter and Bylaws are included as exhibits to this prospectus. The stockholders are encouraged to read the applicable provisions of the DGCL, the Charter and the Bylaws in their entirety for a complete description of the rights and preferences of Semnur’s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Charter authorizes the issuance of (i) 740,000,000 shares of Common Stock, $0.0001 par value per share and (ii) 45,000,000 shares of undesignated preferred stock, $0.0001 par value per share (the “Preferred Stock”), of which 5,423,606 shares have been designated as Series A Preferred Stock. As of April 30, 2026 there were 230,209,142 shares of Common Stock and 5,423,606 shares of Series A Preferred Stock issued and outstanding.</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receive ratably those dividends, if any, that may be declared from time to time by the Board upon the shares of capital stock of Semnur, which dividends may be paid either in cash, in property or in shares of capital stock of Semnur, subject to preferences that may be applicable to preferred stock, if any, then outstanding. Subject to applicable law and the Charter, the Board has full power to determine whether any dividends shall be declared and paid to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Each outstanding share of Common Stock shall entitle the holder thereof to one vote on each matter on which stockholders generally are entitled to vote, except for any amendment to the Charter that relates solely to the terms of one or more outstanding classes or series of Preferred Stock if the holders of such affected classes or series are entitled, either separately or together with the holders of one or more other such classes or series, to vote thereon pursuant to the Charter or the DGCL. Any action or matter presented to the stockholders at a duly called or convened meeting, at which a quorum is present, will be decided by the affirmative vote of the holders of a majority of the votes cast affirmatively or negatively (excluding abstentions) at the meeting by the holders entitled to vote thereon, except that Semnur’s directors are elected by a plurality of the votes cast.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liquidation, dissolution or winding up of Semnur, the holders of Common Stock are entitled to share ratably in all assets remaining after payment of liabilities, subject to prior distribution rights of Preferred Stock, if any, then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Common Stock have no preemptive or conversion rights or other subscription rights. There are no redemption or sinking fund provisions applicable to the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outstanding shares of Common Stock are fully paid and non-assessable.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Charter authorizes the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Semnur’s stockholders. The number of authorized shares of Common Stock and Preferred Stock may be increased or decreased (but not below the number of the shares thereof then outstanding) by the affirmative vote of the holders of a majority of the voting power of the outstanding stock of Semnur entitled to vote thereon.</w:t>
      </w:r>
    </w:p>
    <w:p>
      <w:pPr>
        <w:spacing w:after="0" w:line="17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Common Stock and the voting and other rights of the holders of Common Stock. Other than the Series A Preferred Stock issued to Scilex, there is no other Preferred Stock outstanding and Semnur has no current plans to issue any other shares of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Number and Designation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filed the Certificate of Designations, designating 5,423,606 shares of our preferred stock as “Series A Preferred Stock”. As of the date of this prospectus, 5,423,606 shares of Series A Preferred Stock have been issued to Scilex pursuant to the terms of the Merger Agreement and such shares have all of the rights, preferences and privileges set forth in the Certificate of Designations as more fully described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Rank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Holders of Series A Preferred Stock shall not be entitled to dividends unless Semnur pays dividends to holders of Common Stock and shall be entitled to receive, when, as and if declared by the Board,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liquidation, dissolution or winding-up of Semnur, whether voluntary or involuntary, before any payment or distribution of Semnur’s property or assets (whether capital or surplus) shall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and Redemption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and Other Preferred Rights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183"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 (c) amend its certificate of incorporation or the Certificate of Designations in any manner that adversely affects the holders of Series A Preferred Stock.</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Pursuant to the Registration Rights Agreement, certain stockholders of Semnur are able to demand that Semnur register their registrable securities under certain circumstances and have piggyback registration rights for these securities. In addition, Semnur is required to file and maintain an effective registration statement under the Securities Act covering the resale of all such registrable securities. The registration of these securities enables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Semnur’s securities.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Matters in Semnur’s Governing Documents and Under Delaware Law</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along with the Charter and the Bylaws, all of which are summarized below, may have the effect of delaying, deferring or discouraging another person from acquiring control of Semnur. These provisions are expected to discourage coercive takeover practices and inadequate takeover bids. These provisions are also designed, in part, to encourage persons seeking to acquire control of Semnur to first negotiate with the Board. However, these provisions could have the effect of delaying, discouraging or preventing attempts to acquire Semnur, which could deprive Semnur’s stockholders of opportunities to sell their shares of Common Stock at prices higher than prevailing market prices.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Capital Stock</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authorized but unissued shares of Common Stock and Preferred Stock are available for future issuance without stockholder approval, subject to any limitations imposed by the rules of the Nasdaq Listing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Semnur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Charter provides that the Board is divided into three classes, with the classes as nearly equal in number as practical and each class serving three-year staggered terms. The directors in each class serve for a three-year term (other than the directors initially assigned to Class I whose term shall expire at the first annual meeting of stockholders following the date the Charter was filed with the Secretary of State of the State of Delaware and those assigned to Class II whose term shall expire to the second annual meeting of stockholders following the date the Charter was filed with the Secretary of State of the State of Delaware), with one class being elected each year by the stockholders. This system of electing and removing directors may tend to discourage a third party from making a tender offer or otherwise attempting to obtain control of Semnur, because it generally makes it more difficult for stockholders to replace a majority of the directors. See the section of this prospectus titled “</w:t>
      </w: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18"/>
          <w:szCs w:val="18"/>
          <w:color w:val="auto"/>
        </w:rPr>
        <w:t>” for more information on the classified board.</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Charter also provides that the total number of directors shall be determined from time to time exclusively by the Board; provided that, at any time prior to a Scilex Trigger Event, the stockholders may also fix the number of directors by resolution adopted by the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121" w:lineRule="exact"/>
        <w:rPr>
          <w:sz w:val="20"/>
          <w:szCs w:val="20"/>
          <w:color w:val="auto"/>
        </w:rPr>
      </w:pPr>
    </w:p>
    <w:p>
      <w:pPr>
        <w:ind w:left="120" w:right="100" w:firstLine="440"/>
        <w:spacing w:after="0" w:line="233" w:lineRule="auto"/>
        <w:rPr>
          <w:sz w:val="20"/>
          <w:szCs w:val="20"/>
          <w:color w:val="auto"/>
        </w:rPr>
      </w:pPr>
      <w:r>
        <w:rPr>
          <w:rFonts w:ascii="Times New Roman" w:cs="Times New Roman" w:eastAsia="Times New Roman" w:hAnsi="Times New Roman"/>
          <w:sz w:val="18"/>
          <w:szCs w:val="18"/>
          <w:color w:val="auto"/>
        </w:rPr>
        <w:t xml:space="preserve">The Charter provides that, except as otherwise required by law or the Charter, directors may be removed with or without cause by the affirmative vote of the holders of a majority of the voting power of the then-outstanding shares of stock of Semnur entitled to vote generally in the election of such directors; provided, however, that, from and after the Scilex Trigger Event, any such director or all such directors may be removed only for cause and only by the affirmative vote of the holders of at least 66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voting power of all the then-outstanding shares of stock of Semnur entitled to vote thereon, voting together as a single class, in each case subject to the rights of holders of any series of Preferred Stock.</w:t>
      </w:r>
    </w:p>
    <w:p>
      <w:pPr>
        <w:spacing w:after="0" w:line="20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Charter provides that, except as otherwise provided therein or by law, any vacancy resulting from the death, resignation, removal or disqualification of a director or other cause, or any newly created directorship in the Board, may be filled by a majority of the directors then in office, although less than a quorum, or by Semnur’s stockholders; provided, however, that from and after the Scilex Trigger Event, any vacancy resulting from the death, resignation, removal or disqualification of a director or other cause, or any newly created directorship in the Board, shall be filled only by a majority of the directors then in office, although less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than a quorum, and shall not be filled by Semnur’s stockholders, in each case subject to the rights of the holders of any series of preferred stock. These provisions may have the effect of deferring, delaying, or discouraging hostile takeovers, changes in control of Semnur or changes in its management.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Charter provides that Semnur has opted out of Section 203 of the DGCL until the occurrence of a Scilex Trigger Event, at which time Semnur shall immediately and automatically become governed by Section 203 of the DGCL. 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the Board, including discouraging attempts that might result in a premium over the market price for the shares of Common Stock held by stockholders.</w:t>
      </w:r>
    </w:p>
    <w:p>
      <w:pPr>
        <w:spacing w:after="0" w:line="188"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Charter provides that the restrictions on business combination of Section 203 of the DGCL do not apply to Scilex or its current or future Affiliates (as defined in the Charter) regardless of the percentage of ownership of the total voting power of all the then-outstanding shares of capital stock of Semnur entitled to vote generally in the election of directors beneficially owned by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Delaware law, the right to vote cumulatively does not exist unless the certificate of incorporation specifically authorizes cumulative voting. The Charter does not authorize cumulative voting. Therefore, stockholders holding a majority of the shares of capital stock of Semnur entitled to vote generally in the election of directors are able to elect all of Semnur’s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Charter provides that special meetings of stockholders may only be called by order of the Chairperson of the Board, the Board or the Chief Executive Officer; provided, however, that at any time prior to the Scilex Trigger Event, special meetings of Semnur stockholders shall also be called by or at the direction of the Board or the Chairperson of the Board at the request of Scilex, in each case subject to the rights of the holders of any series of Preferred Stock with respect to such series of preferred stock. The Bylaws prohibit the conduct of any business at a special meeting other than as specified in the notice for such meeting. These provisions may have the effect of deferring, delaying, or discouraging hostile takeovers or changes in control or management.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 and Stockholder Proposals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Bylaws established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will have to comply with advance notice requirements and provide Semnur with certain information.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Generally, to be timely, a stockholder’s notice must be delivered to the secretary of Semnur at Semnur’s principal executive offices not earlier than the close of business on the 120th day nor later than the close of business on the 90th day prior to the first anniversary of the preceding year’s annual meeting (in the case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first annual meeting of stockholders held after January 1, 2026, the date of the preceding year’s annual meeting of the stockholders shall be deemed to be June 30, 2025);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and the 10th day following the day on which public announcement of the date of such meeting is first made by Semnur. The Bylaws will also specify requirements as to the form and content of a stockholder’s notice. The Bylaws will allow any previously scheduled stockholders meeting to be postponed, adjourned or canceled by resolution of the Board; provided, however, that with respect to any special meeting of stockholders scheduled at the request of Scilex, the Board is not allowed to postpone, reschedule or cancel without the prior written consent of Scilex. In addition, the Bylaws will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Pursuant to Section 228 of the DGCL and the terms of the Charter, any action required or permitted to be taken by the stockholders of Semnur must be effected by a duly called annual or special meeting of such stockholders; provided, however, that prior to the Scilex Trigger Event, any action required or permitted to be taken at any annual or special meeting of stockholders of Semnur may be taken without a meeting, without prior notice and without a vote, if a consent or consents, setting forth the action so taken, is signed by or on behalf of the holders of record of outstanding stock having not less than the minimum number of votes that would be necessary to authorize or take such action at a meeting at which all shares entitled to vote thereon were present and voted, is delivered to Semnur in accordance with the DGCL, in each case subject to the rights of the holders of any series of Preferred Stock with respect to such series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Certificate of Incorporation or Bylaws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Charter provides that, upon the occurrence of the Scilex Trigger Event, the affirmative vote of the holders of at least 66 2/3% of the voting power of the then-outstanding shares of stock entitled to vote thereon, voting together as a single class, will be required to alter, amend or repeal the following provisions of the Charter: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Charter and Bylaws provide that the Board is authorized to make, alter and repeal the Bylaws, without the consent or vote of the stockholders, by an approval of a majority of the total authorized number of directors. Upon the occurrence of the Scilex Trigger Event, the affirmative vote of the holders of at least 66 2/3% of the voting power of the then-outstanding shares of stock entitled to vote thereon, voting together as a single class, will be required to alter, amend or repeal the Bylaws.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the DGCL, the Charter and Bylaws could have the effect of discouraging others from attempting hostile takeovers and, as a consequence, they may also inhibit temporary fluctuations in the market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price of Common Stock that often result from actual or rumored hostile takeover attempts. These provisions may also have the effect of preventing changes in the composition of the Board and Semnur’s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Semnur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Semnur, (ii) any action asserting a claim of breach of a fiduciary duty owed by any of the current or former directors, officers, employees or stockholders of Semnur to Semnur or its stockholders, (iii) any action asserting a claim against Semnur or any of its current or former directors, officers, employees or stockholders arising pursuant to any provision of the DGCL or of the Charter or Bylaws, (iv) any claim or cause of action seeking to interpret, apply, enforce or determine the validity of the Charter or Bylaws, (v) any action or proceeding asserting a claim against Semnur or any of the current or former directors, officers, employees or stockholders of Semnur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w:t>
      </w:r>
    </w:p>
    <w:p>
      <w:pPr>
        <w:spacing w:after="0" w:line="19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Charter provides that, unless Semnur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Semnur believes these provisions benefit the company by providing increased consistency in the application of applicable law in the types of lawsuits to which they apply, the provisions may have the effect of discouraging lawsuits against Semnur’s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Semnur, a court could find the choice of forum provisions contained in the Charter to be inapplicable or unenforceable in such action. Semnur may incur additional costs associated with resolving such action in other jurisdictions, which could harm the business, operating results and financial condition of Semnur. Any person or entity purchasing or otherwise acquiring any interest in shares of Semnur’s capital stock shall be deemed to have notice of and consented to the forum provisions in the Charter.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Directors and Officers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Charter and Bylaws contain provisions that limit the liability of Semnur’s directors and officers for monetary damages to the fullest extent permitted by the DGCL. Consequently, Semnur’s directors and officers are not personally liable to Semnur or its stockholders for monetary damages for any breach of fiduciary duties as directors or officers, as applicable, except liability for the following:</w:t>
      </w:r>
    </w:p>
    <w:p>
      <w:pPr>
        <w:spacing w:after="0" w:line="81"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Semnur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5480" w:right="2500" w:hanging="4824"/>
        <w:spacing w:after="0" w:line="454" w:lineRule="auto"/>
        <w:tabs>
          <w:tab w:leader="none" w:pos="10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in violation of the DGCL; 186</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the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officer, any action by or in the right of the corporation.</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Charter also provides that if the DGCL is amended to permit further elimination or limitation of the personal liability of directors, then the liability of Semnur’s directors or officers will be eliminated or limited to the fullest extent permitted by the DGCL, as so amended.</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Bylaws provide that Semnur shall indemnify any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Semnur or as a director, officer or trustee of another corporation, limited liability company, partnership, joint venture, employee benefit plan, trust, nonprofit entity or other enterprise (to the extent serving in such position at the request of Semnur), in each case against all liability and loss suffered (including, without limitation, any judgments, fines, excise taxes or penalties arising under the Employee Retirement Income Security Act of 1974 and amounts paid in settlement consented to in writing by Semnur) and expenses (including attorneys’ fees), actually and reasonably incurred by such person in connection therewith, subject to certain conditions. In addition, the Bylaws provide that Semnur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Semnur’s expense, to protect Semnur and any person who is or was a director, officer, employee or agent of Semnur or is or was a director, officer, employee or agent of Semnur serving at its request as a director, officer, employee or agent of another corporation, limited liability company, partnership, joint venture, trust, employee benefit plan or other enterprise against any liability, expense or loss, whether or not Semnur would have the power or obligation to indemnify such person against such liability, expense or loss under the DGCL or the provisions of the Bylaws.</w:t>
      </w:r>
    </w:p>
    <w:p>
      <w:pPr>
        <w:spacing w:after="0" w:line="19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their respective directors and officers, as determined by the Board. These agreements, among other things, require Semnur to indemnify its directors and executive officers against liabilities that may arise by reason of their status or service. These indemnification agreements also require Semnur to advance all expenses actually and reasonably incurred by the directors and executive officers in connection with any proceeding. The Board believes that these agreements are necessary to attract and retain qualified individuals to serve as directors and executive officers.</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indemnification provisions of the Charter, the Bylaws and the indemnification agreements is not complete and is qualified in its entirety by reference to these documents, each of which is filed as an exhibit to the registration statement of which this prospectus is a part.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Certain of Semnur’s non-employee directors may, through their relationships with their employers, be insured or indemnified against certain liabilities incurred in their capacity as members of the Board.</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Charter and the Bylaws may discourage stockholders from bringing a lawsuit against Semnur’s directors and officers for breach of their fiduciary duty. They may also reduce the likelihood of derivative litigation against Semnur’s directors and officers, even though an action, if successful, might benefit Semnur and its stockholders. In addition, a stockholder’s investment may be adversely affected to the extent Semnur pay the costs of settlement and damage awards against directors and officers pursuant to these indemnification provisions.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or executive officers, Semnur has been informed that in the opinion of the SEC, such indemnification is against public policy and is therefore unenforceable.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Delaware law permits corporations to adopt provisions renouncing any interest or expectancy in certain opportunities that are presented to the corporation or its officers, directors or stockholders. The Charter provides that, to the fullest extent permitted by law, no Identified Person (as defined therein) has any duty to refrain from (i) engaging in a corporate opportunity in the same or similar business activities or lines of business in which Semnur or its affiliates are engaged or that are deemed to be competing with Semnur or any of its affiliates or (ii) otherwise investing in or providing services to any person that is engaged in the same or similar business activities as Semnur or its affiliates or competes with Semnur or its affiliates. In addition, to the fullest extent permitted by law, no Identified Person has any obligation to offer to Semnur or its subsidiaries or affiliates the right to participate in any corporate opportunity in the same or similar business activities or lines of business in which Semnur or its affiliates are engaged or that are deemed to be competing with Semnur or any of its affiliates. Subject to the preceding sentences and to the fullest extent permitted by applicable law, neither Semnur nor any of its subsidiaries shall have any rights in any business interests, activities or ventures of any Identified Person, and Semnur waives and renounces any interest or expectancy therein, except with respect to opportunities offered solely and expressly to officers of Semnur in their capacity as such.</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of Appraisal and Payment</w:t>
      </w:r>
    </w:p>
    <w:p>
      <w:pPr>
        <w:spacing w:after="0" w:line="121" w:lineRule="exact"/>
        <w:rPr>
          <w:sz w:val="20"/>
          <w:szCs w:val="20"/>
          <w:color w:val="auto"/>
        </w:rPr>
      </w:pPr>
    </w:p>
    <w:p>
      <w:pPr>
        <w:jc w:val="both"/>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Semnur’s stockholders will have appraisal rights in connection with a merger or consolidation of Semnur.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Under the DGCL, any of the stockholders of Semnur may bring an action in the company’s name to procure a judgment in its favor, also known as a derivative action, provided that the stockholder bringing the action is a holder of Semnur’s capital stock at the time of the transaction to which the action relates.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the effective time of the Domestication, each warrant to purchase Denali Ordinary Shares that was issued and outstanding immediately prior to the effective time of the Domestication and not terminated pursuant to its terms was converted into a warrant to purchase shares of Common Stock on the same terms and conditions were in effect with respect to such warrant immediately prior to the effective time of the Domestication. As of April 30, 2025, there were 6,922,122 Public Warrants and 510,000 Private Warrants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Public Warrant entitles the registered holder thereof to purchase one share of Common Stock at a price of $11.50 per share, subject to adjustment as described in this prospectus, at any time commencing on the later of 30 days after the consummation of the Business Combination and 12 months from the date of the closing of the IPO. We may, in our sole discretion, lower the warrant exercise price at any time prior to the expiration date for a period of not less than 15 business days (unless otherwise required by the SEC, any national securities exchange on which the Warrants are listed or applicable law) and any such reduction will be identical to all of the warrants, provided that we will provide at least five days’ prior written notice to registered holders of the warrants.</w:t>
      </w:r>
    </w:p>
    <w:p>
      <w:pPr>
        <w:spacing w:after="0" w:line="187"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Semnur will not be obligated to deliver any Common Stock pursuant to the exercise of a warrant and shall have no obligation to settle such warrant exercise unless an effective and current registration statement covering the issuance of the Common Stock issuable upon exercise of the warrants is effective and a prospectus relating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such Common Stock is current or a valid exemption from registration is available. Notwithstanding the foregoing, if a registration statement covering the issuance of the Common Stock issuable upon exercise of the Public Warrants is not effective within 60 days from the consummation of the Business Combination, warrant holders may, from the 61st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warrants will expire five years from the consummation of the Business Combination at 5:00 p.m., New York City time or earlier upon redemption or liquidation.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if, for capital raising purposes, (x) we issue additional shares of Common Stock or equity-linked securities at the Newly Issued Price,</w:t>
      </w:r>
    </w:p>
    <w:p>
      <w:pPr>
        <w:spacing w:after="0" w:line="27" w:lineRule="exact"/>
        <w:rPr>
          <w:sz w:val="20"/>
          <w:szCs w:val="20"/>
          <w:color w:val="auto"/>
        </w:rPr>
      </w:pPr>
    </w:p>
    <w:p>
      <w:pPr>
        <w:ind w:left="120" w:right="80" w:hanging="4"/>
        <w:spacing w:after="0" w:line="253" w:lineRule="auto"/>
        <w:tabs>
          <w:tab w:leader="none" w:pos="3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gross proceeds from such issuances represent more than 60% of the total equity proceeds, and interest thereon, available for the funding of the Business Combination on the date of the consummation of the Business Combination (net of redemptions), and (z) the Market Value (as defined in the Warrant Agreement) is below $9.20 per share, the exercise price of the warrants will be adjusted (to the nearest cent) to be equal to 115% of the higher of (i) the Market Value or (ii) the Newly Issued Price, and the $16.50 per share redemption trigger price described below will be adjusted (to the nearest cent) to be equal to 165% of the higher of the Market Value and the Newly Issued Price.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Semnur may call the warrants for redemption (excluding the Private Placement Warrants), in whole and not in part, at a price of $0.01 per warrant:</w:t>
      </w:r>
    </w:p>
    <w:p>
      <w:pPr>
        <w:spacing w:after="0" w:line="142" w:lineRule="exact"/>
        <w:rPr>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if, and only if, the last reported sales price of the Common Stock equals or exceeds $16.50 per share (as adjusted for adjustments to the number of shares issuable upon exercise or the exercise price of a warrant), for any 20 trading days within a 30 trading day period ending on the third trading day prior to the date on which notice of redemption is given, and</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an effective registration statement covering the Common Stock issuable upon exercise of the Public Warrants, and a current prospectus relating thereto, available throughout the 30-day redemption period.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Semnur has established the last of the redemption criterion discussed above to prevent a redemption call unless there is at the time of the call a significant premium to the warrant exercise price. If the foregoing conditions are satisfied and Holdco issue a notice of redemption of the warrants, each warrant holder will be entitled to exercise his, her or its warrant prior to the scheduled redemption date. However, the price per share of Common Stock may fall below the $16.50 redemption trigger price (as adjusted for adjustments to the number of shares issuable upon exercise or the exercise price of a warrant) as well as the $11.50 (for whole shares) warrant exercise price after the redemption notice is issued.</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Semnur calls the warrants for redemption as described above, Semnur’s management has the option to require any holder that wishes to exercise its warrant to do so on a “cashless basis.” In such event, each holder would pay the exercise price by surrendering their warrants for that number of shares of Common Stock equal to the quotient obtained by dividing (x) the product of the number of shares of Common Stock underlying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warrants, multiplied by the excess of the “fair market value” (as defined below) less the exercise price of the warrants by (y) the fair market value. The “fair market value” shall mean the average volume weighted average last reported sale price of the Common Stock for the 10 trading day period ending on the third trading day prior to the date on which the notice of redemption is sent to the holders of warrants. For example, if a holder held a warrant to purchase 150 shares of Common Stock and the fair market value on the trading date prior to exercise was $15.00, that holder would receive 35 shares of Common Stock without the payment of any additional cash consideration. Whether we will exercise our option to require all holders to exercise their warrants on a “cashless basis” will depend on a variety of factors including the price of Common Stock at the time the warrants are called for redemption, our cash needs at such time and concerns regarding dilutive share issuances. Requiring a cashless exercise in this manner will reduce the number of shares of Common Stock to be issued and thereby lessen the dilutive effect of a warrant redemption. We believe this feature is an attractive option to use if we do not need the cash from the exercise of the Public Warrants. If Semnur’s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warrants were issued in registered form under the Warrant Agreement between VStock, as warrant agent, and us.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Placement Warrants), in order to make any change that adversely affects the interests of the registered holders.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(i) an increase in the number of issued and outstanding shares of Common Stock by a capitalization or share dividend of the Common Stock or by a sub-division of the Common Stock or other similar event, (ii) an extraordinary dividend or (iii) a decrease in the number of issued and outstanding shares of Common Stock by consolidation, combination, reverse share split or reclassification of Common Stock or other similar event. However, no Common Stock shall be issued at less than their par value. Whenever the number of shares of Common Stock purchasable upon the exercise of the warrants is adjusted, the warrant exercise price will be adjusted (to the nearest cent)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shares of Common Stock, or in the case of any merger or consolidation of Semnur with or into another corporation (other than a consolidation or merger in which Semnur is the continuing corporation and that does not result in any reclassification or reorganization of the issued and outstanding shares of Common Stock), or in the case of any sale or conveyance to another corporation or entity of the assets or other property of Semnur as an entirety or substantially as an entirety in connection with which Semnur is dissolved, the holders of the warrants will thereafter have the right to purchase and receive, upon the basis and upon the terms and conditions specified in the warrants and in lieu of the shares of Common Stock immediately theretofore purchasable and receivable upon the exercise of the rights represented thereby, the kind and amount of shares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5"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warrants may be exercised, on or prior to the expiration date, by delivering to the warrant agent at its corporate trust department (i) the warrant certificate and (ii) an election to purchase any Common Stock pursuant to the exercise of a warrant, properly completed and executed by the warrant holder on the reverse of the warrant certificate, accompanied by full payment of the exercise price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are exercisable or obligated to issue shares of Common Stock upon exercise of a warrant unless the shares of Common Stock issuable upon such warrant exercise have been registered, qualified or deemed to be exempt from registration or qualification under the securities laws of the state of residence of the registered holder of the warrants. Under the terms of the Warrant Agreement, we have agreed to use our commercially reasonable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settle the warrant exercise, the warrants may have no value, the market for the warrants may be limited and the warrants may expire worthless. In no event will we be required to net cash settle any warrant.</w:t>
      </w:r>
    </w:p>
    <w:p>
      <w:pPr>
        <w:spacing w:after="0" w:line="194"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(together with such holder’s affiliates) would beneficially own in excess of 4.9 or 9.8% of the Common Stock outstanding immediately after giving effect to such exercise.</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Private Warrants are identical to the Public Warrants underlying the Public Units except that such Private Warrants, including the Common Stock issuable upon exercise of the Private Warrants, may not be transferred, assigned or sold until 30 days after the closing of the Business Combination, subject to certain exceptions.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foregoing summary of the terms and conditions of the warrants does not purport to be complete and is qualified in its entirety by reference to the copy of the Warrant Agreement that is filed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Common Stock will be VStock. The transfer agent’s address is 18 Lafayette Place, Woodmere, New York 11598.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Shares of our Common Stock and Public Warrants are quoted on the Pink Limited Market of the OTC Markets under the symbols “SMNR” and “SMNRW,”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7"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transactions since January 1, 2024 and any currently proposed transactions to which the Company or Legacy Semnur was or is to be a participant in which the amount involved exceeded or will exceed $120,000 or one percent of the average of the Company’s total assets as of December 31, 2025 and December 31, 2024, and in which any of the Company’s or Legacy Semnur’s directors, executive officers or, to the Company’s or Legacy Semnur’s knowledge, beneficial owners of more than 5% of the Company’s or Legacy Semnur’s capital stock, or their immediate family members have had or will have a direct or indirect material interest, other than compensation and other arrangements that are described under the sections of this prospectus titled “Executive and Director Compensation.”</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Relationship with Scilex</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Legacy Semnur was a majority owned subsidiary of Scilex. Following the closing of the Business Combination, Scilex (together with certain of its subsidiaries) continues to beneficially own a significant percentage of our outstanding Common Stock. In connection with the Business Combination, Legacy Semnur and Scilex entered into certain agreements that relate to Legacy Semnur’s relationship with Scilex prior to the Business Combination and provides a framework for our ongoing relationship with Scilex.</w:t>
      </w:r>
    </w:p>
    <w:p>
      <w:pPr>
        <w:spacing w:after="0" w:line="180"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On September 22, 2025, we entered into a transition services agreement with Scilex. Pursuant to this transition services agreement, Scilex agreed to provide, directly or indirectly, certain administrative, financial, legal, tax, insurance, facility, information technology and other services to Semnur. The total cost of services provided to Semnur shall not exceed $2.0 million per year, for a period of three years, unless terminated by either Scilex or Semnur.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2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August 30, 2024, Denali Capital Global Investments LLC (the “Sponsor”) and each of Denali’s directors and executive officers entered into a Sponsor Support Agreement with Denali and Semnur, pursuant to which the Sponsor and each of Denali’s directors and executive officers has agreed to, among other things: (i) vote in favor of the Parent Shareholder Approval Matters (as defined in the Merger Agreement) and in favor of any proposal in respect of an Extension Amendment (as defined in the Merger Agreement); (ii) vote against (or otherwise withhold written consent of, as 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Denali (other than the Merger Agreement and the transactions contemplated thereby); (iv) vote against (or otherwise withhold written consent of, as applicable) any change in the business, management or board of directors of Denali (other than in connection with the Merger Agreement and the transactions contemplated thereby); and (v) vote against (or otherwise withhold written consent of, as applicable) any proposal, action or agreement that would (a) impede, frustrate, prevent or nullify any provision of the Sponsor 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Denali. Under the terms of the Sponsor Support Agreement, the Sponsor also agreed to certain standstill provisions with respect to the ordinary shares and other equity securities of Denali held by the Sponsor.</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Company Stockholder Support Agreement</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Company, Legacy Semnur and Scilex (as the sole stockholder of Semnur) entered into a company stockholder support agreement (the “Stockholder Support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Agreement”), pursuant to which Scilex agreed to, among other things: (i) appear at any meeting of Semnur’s stockholders related to the transactions contemplated by the Merger Agreement, or otherwise cause its shares of Legacy Semnur common stock to be counted as present thereat for the purpose of establishing a quorum; (ii) vote (or execute and return an action by written consent), or cause to be voted at any such meeting of Legacy Semnur’s stockholders (or validly execute and return and cause such consent to be granted with respect to), all of its shares of Legacy Semnur common stock in favor of the Merger Agreement and the Business Combination; (iii) authorize and approve any amendment to Legacy Semnur’s certificate of incorporation or bylaws that is deemed necessary or advisable by Legacy Semnur for purposes of effecting the Business Combination; and (iv) vote (or execute and return an action by written consent), or cause to be voted at any such meeting of Legacy Semnur’s stockholders (or validly execute and return and cause such consent to be granted with respect to), all of its shares of Legacy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Interest Purchase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and delivery of the Merger Agreement, the Sponsor and Scilex entered into the Sponsor Interest Purchase Agreement, dated as of August 30, 2024 (the “SIPA”). Pursuant to the SIPA, Scilex purchased 500,000 Denali Class B ordinary shares (the “Purchased Interests”), of Denali that were held by the Sponsor. The aggregate consideration for the purchase and sale of the Purchased Interests is as follows: (i) $2,000,000 (the “Cash Consideration”), and (ii) 300,000 shares of common stock of Scilex (which number of shares was adjusted to 8,571 shares to reflect the reverse stock split of Scilex common stock that was effected on April 15, 2025) (such number of shares, as adjusted the “Sponsor SIPA Shares”). Pursuant to the SIPA, Scilex paid the Cash Consideration and agreed to issue the Scilex Shares to the Sponsor contingent upon and following the occurrence of the time at which the Business Combination became effective (the “Effective Time”). The Purchased Interests converted automatically, on a one-for-one basis, into shares of Common Stock at the effective time of the change of the domicile of Denali pursuant to a transfer by way of continuation of an exempted company out of the Cayman Islands and a domestication into the State of Delaware as a corporation, and the de-registration of Denali in the Cayman Islands (the “Domestication”) pursuant to the terms of the Merger Agreement. On September 22, 2025, the requirement to deliver the Scilex Shares was discharged pursuant to that certain Satisfaction and Discharge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Promissory Notes</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April 11, 2023, Denali issued a convertible promissory note to the Sponsor in the total principal amount of $2,000,000 (the “Sponsor Convertible Promissory Note”) with an initial principal balance of $412,500 (the “Initial Principal Amount”), with the remaining $412,500 drawable at Denali’s request prior to the maturity of the Sponsor Convertible Promissory Note. The Sponsor Convertible Promissory Note bears an interest equivalent to the lowest short-term applicable federal rate and was to mature upon the earlier of (i) the closing of Denali’s initial business combination and (ii) the date of the liquidation of Denali (the “Sponsor Convertible Promissory Note Maturity Date”). Upon the consummation of the Business Combination, the Sponsor Convertible Promissory Note was convertible, at the option of the Sponsor, into additional Denali Class A ordinary shares, at a conversion price of $10.00 per share (the “Conversion Shares”). On July 18, 2023, the Sponsor lent another $80,000 to Denali, resulting in the principal amount of the Sponsor Convertible Promissory Note being increased to $492,500. On October 12, 2023, the Sponsor lent another $150,000 to Denali, resulting in the principal amount of the Sponsor Convertible Promissory Note being increased to $642,500. On December 29, 2023, Denali and the Sponsor agreed that, in addition to the Initial Principal Amount, Denali may request an additional aggregate amount of up to $157,500, which may be drawn down in one or more tranches at any time prior to the Sponsor Convertible Promissory Note Maturity Date, raising the total limit up to $1,000,000.</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April 2, 2024, Denali and Sponsor agreed that, in addition to the Initial Principal Amount, Denali may request an additional aggregate amount of up to $186,800, which may be drawn down in one or more tranches at any time prior to the maturity date, raising the total limit up to $1,200,000. On January 27, 2025, Denali and Sponsor agreed that, in addition to the Initial Principal Amount, Denali may request an additional aggregate amount of up to $591,800, which may be drawn down in one or more tranches at any time prior to the maturity date, raising the total limit up to $2,000,000. As of March 31, 2025, there was an amount of $1,523,237 outstanding under Working Capital Loans in the form of (i) the Sponsor Convertible Promissory Note and (ii) the convertible promissory note, dated July 10, 2024, by and between Denali and the Sponsor in the total principal amount of $180,000, which bore no interest and was previously convertible in whole or in part into additional Denali Class A ordinary shares at a conversion price of $10.00 per ordinary share (the “Sponsor Extension Convertible Promissory Note”) issued to the Sponsor ((i) and (ii) together, the “Working Capital Loans”).</w:t>
      </w:r>
    </w:p>
    <w:p>
      <w:pPr>
        <w:spacing w:after="0" w:line="192"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On July 10, 2024, Denali issued a convertible promissory note in the total principal amount of up to $180,000 to the Sponsor. The Sponsor Extension Convertible Promissory Note was issued with an initial principal balance of $15,037, with the remaining $164,963 drawable at Denali’s request and upon the consent of the Sponsor prior to the maturity of the Sponsor Extension Convertible Promissory Note. The Sponsor Extension Convertible Promissory Note matured upon the effective date of the consummation of Denali’s initial business combination.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Concurrent with the consummation of the Business Combination, Denali and Scilex entered into the Registration Rights Agreement with the other stockholders named therein. The Registration Rights Agreement governs, among other things, the registration of certain shares of Common Stock for resale and is effective as of the closing of the Business Combination, and includes certain customary demand and “piggy-back” registration rights with respect to shares of Common Stock held by the parties thereto.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Agreement with Scilex</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August 30, 2024, Denali entered into a stockholder agreement with Scilex (the “Stockholder Agreement”). Pursuant to the terms of the Stockholder Agreement (and subject to certain rights of Oramed), from and after the Effective Time, and for so long as Scilex beneficially owns any shares of Series A Preferred Stock, among other things, (i) Scilex shall have the right, but not the obligation, to designate director(s) to be nominated, elected or appointed to our Board (each, a “Stockholder Designee” and collectively, the “Stockholder Designees”), regardless of (a) whether such Stockholder Designee is to be elected to the Board at a meeting of stockholders called for the purpose of electing directors (or by consent in lieu of meeting) or appointed by the Board in order to fill any vacancy created by the departure of any director or increase in the authorized number of members of the Board or (b) the size of the Board and (ii) Semnur will be required to take all actions reasonably necessary, and not otherwise prohibited by applicable law, to cause each Stockholder Designee to be so nominated, elected or appointed to the Board as more fully described in the Stockholder Agreement. Scilex will also have the right to designate a replacement director for any Stockholder Designee that has been removed from the Board and the right to appoint a representative of Scilex to attend all meetings of the committees of the Board.</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Stockholder Agreement also provides that following the closing of the Business Combination, Semnur shall not, and shall cause its subsidiaries not to, among others, without the prior written consent of Scilex: (i) amend, alter, modify or repeal (whether by merger, consolidation, by operation of law or otherwise) any provisions of the Certificate of Incorporation (including the Certificate of Designations) or the Bylaws that increase or decrease the authorized number of directors constituting the Board; (ii) take any action that would have the effect of increasing or decreasing the number of directors constituting the Board; (iii) amend, alter, modify or repeal (whether by merger, consolidation, reclassification, by operation of law or otherwise) any provisions of the respective charters (and any related organizational documents) of any of the committees of the Board; (iv) file any voluntary petition under any applicable federal or state bankruptcy or insolvency law on behalf of Semnur or any of its subsidiaries; (v) (A) incur or permit any of Semnur’s subsidiaries to incur any indebtedness in an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60"/>
          </w:cols>
          <w:pgMar w:left="320" w:top="455" w:right="5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aggregate principal amount in excess of $10,000,000 (with “principal amount” for purposes of this definition to include undrawn committed or available amounts) or (B) enter into, modify, amend or renew (or permit any of its subsidiaries to enter into, modify, amend or renew) any contract or other agreement in respect of indebtedness in an aggregate principal amount in excess of $10,000,000 (with “principal amount” for purposes of this definition to include undrawn committed or available amounts); (vi) consummate or otherwise enter into any other contract or agreement to effect any change of control, joint venture or corporate reorganization by Semnur or any of its subsidiaries; (vii) declare or pay any dividend or distribution on Common Stock, other Junior Security (as defined in the Stockholder Agreement) or Parity Security (as defined in the Stockholder Agreement); or (viii) purchase, redeem or otherwise acquire for consideration by Semnur, directly or indirectly, any Common Stock, other Junior Security or Parity Security (except as necessary to effect (A) a reclassification of any Junior Security for or into other Junior Securities, (B) a reclassification of any Parity Security for or into other Parity Securities with the same or lesser aggregate liquidation preference, (C) a reclassification of any Parity Security into a Junior Security,</w:t>
      </w:r>
    </w:p>
    <w:p>
      <w:pPr>
        <w:spacing w:after="0" w:line="5" w:lineRule="exact"/>
        <w:rPr>
          <w:sz w:val="20"/>
          <w:szCs w:val="20"/>
          <w:color w:val="auto"/>
        </w:rPr>
      </w:pPr>
    </w:p>
    <w:p>
      <w:pPr>
        <w:ind w:left="120" w:right="20" w:hanging="4"/>
        <w:spacing w:after="0" w:line="253" w:lineRule="auto"/>
        <w:tabs>
          <w:tab w:leader="none" w:pos="4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any Junior Security for or into another Junior Security, (E) the exchange or conversion of any Parity Security for or into another Parity Security with the same or lesser per share liquidation amount, (F) the exchange or conversion of any Parity Security for or into any Junior Security or (G) the settlement of incentive equity awards (including any applicable withholdings and the net exercise of options) in accordance with the terms thereof). The Series A Preferred Stock ranks (i) senior to all Common Stock and to the Junior Securities; and (ii) on parity with the Parity Securities.</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In addition, the Stockholder Agreement provides that Semnur will be prohibited from taking certain actions without the consent of Oramed (but only until the Release Date (as defined in the Stockholder Agreement)). The actions that require Oramed’s consent include, among other things, (i) amending certain agreements, including the Stockholder Agreement, the Merger Agreement, the Certificate of Incorporation, the Bylaws, the 2024 Stock Option Plan, the Stockholder Support Agreement, and that certain Contribution and Satisfaction of Indebtedness Agreement, dated as of August 30, 2024, by and between Semnur and Scilex (the “Debt Exchange Agreement”), in each case that adversely affect the rights of capital stock held by Scilex in Semnur, (ii) approving of the issuance of capital stock of Semnur that would result in Scilex holding less than 55% of the outstanding shares or voting power of Semnur, (iii) forming any subsidiary that is not wholly owned and controlled by Semnur, (iv) permitting any option grants to Scilex Insiders (as defined therein) pursuant to the 2024 Stock Option Plan prior to the execution of the Merger Agreement to be exercisable or (v) permitting certain compensation payments to Scilex Insiders (as defined therein).</w:t>
      </w:r>
    </w:p>
    <w:p>
      <w:pPr>
        <w:spacing w:after="0" w:line="18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Stockholder Agreement will terminate and be of no further force and effect upon the earlier of (i) termination of the Merger Agreement in accordance with its terms, (ii) mutual written agreement of the parties thereto and (iii) following the issuance of the Series A Preferred Stock to Scilex pursuant to the Merger Agreement, the date upon which Scilex (together with its affiliates, subsidiaries, successors and assigns (other than the Company and its subsidiaries)) ceases to own any shares of Series A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Exchange Agreement and Related Matters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on August 30, 2024, Scilex and Semnur entered into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Pursuant to the Debt Exchange Agreement, Scilex agreed to contribute the Outstanding Indebtedness (as set forth in the Debt Exchange Agreement) to Semnur in exchange for the issuance by Semnur to Scilex of shares that are equal to (a) the sum of the aggregate amount of the Outstanding Indebtedness and the amount that is equal to 10% of such aggregate amount of the Outstanding Indebtedness divided by (b) $11.00 (rounded up to the nearest whole share) (the “Exchange Shares”). Further, pursuant to the Debt Exchange Agreement, prior to the Contribution, Semnur agreed to file, with the Secretary of State of the State of Delaware, a certificate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designations, in the form agreed in the Debt Exchange Agreement, to set forth the designations, powers, rights and preferences and qualifications, limitations and restrictions of the Series A Preferred Stock. Upon the occurrence of the Contribution and issuance of the shares of Series A Preferred Stock to Scilex, the Outstanding Indebtedness of Semnur owed to Scilex shall be extinguished in its entirety and shall be of no further force or effect and shall be deemed paid and satisfied in full and irrevocably and automatically discharged, terminated and released.</w:t>
      </w:r>
    </w:p>
    <w:p>
      <w:pPr>
        <w:spacing w:after="0" w:line="180"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As of the date of the Business Combination, the aggregate outstanding amount was $54,236,058.00. The aggregate number of shares of Series A Preferred Stock issued to Scilex prior to the Effective Time pursuant to the Debt Exchange Agreement was 5,423,606 shares. At the Effective Time, such shares were exchanged for 5,423,606 shares of Series A Preferred Stock and 542,361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Oramed Note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21, 2023, Scilex entered into, and consummated the transactions contemplated by, that certain Securities Purchase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“Scilex-Oramed SPA”) with Oramed, pursuant to which, among other things, Scilex issued to Oramed the Oramed Note. The Oramed Note’s initial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maturity date was March 21, 2025. It is payable in six principal installments, with the first installment of $5,000,000 payable on December 21, 2023,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second installment in the principal amount of $15,000,000 payable on March 21, 2024, the next three installments each in the principal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 payable on each of June 21, 2024, September 21, 2024 and December 21, 2024 and the last installment in the entire remaining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balance of the Oramed Note payable on March 21, 2025. Interest under the Oramed Note accrues at a fluctuating per annum interest rate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 of (1) greater of (x) 4% and (y) Term SOFR (as defined in the Oramed Note) and (2) 8.5%, payable in-kind on a monthly basis. Pursuant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Oramed Note, if the outstanding principal has not been fully repaid by March 21, 2024, an exit fee of approximately $3.1 million would become due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upon repayment. Upon the occurrence and during the continuance of an event of default under the Oramed Note, holders of more than 50%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unpaid principal amount of the Oramed Notes may elect to accrue interest at a default rate equal to the lesser of (i) Term SOFR plus 15% or</w:t>
      </w:r>
    </w:p>
    <w:p>
      <w:pPr>
        <w:spacing w:after="0" w:line="9" w:lineRule="exact"/>
        <w:rPr>
          <w:sz w:val="20"/>
          <w:szCs w:val="20"/>
          <w:color w:val="auto"/>
        </w:rPr>
      </w:pPr>
    </w:p>
    <w:p>
      <w:pPr>
        <w:ind w:left="120" w:right="20" w:hanging="4"/>
        <w:spacing w:after="0" w:line="252" w:lineRule="auto"/>
        <w:tabs>
          <w:tab w:leader="none" w:pos="38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rate permitted under applicable law. Voluntary prepayments made before the one-year anniversary of the closing date of the Scilex-Oramed SPA must include a make-whole amount equal to 50% of the additional interest that would accrue on the principal amount so prepaid from the date of such prepayment through and including the maturity date. If the Oramed Note is accelerated upon an event of default, repayment is required at a mandatory default rate of 125% of the principal amount (together with 100% of accrued and unpaid interest thereon and all other amounts due in respect of the Oramed Note). The Oramed Note contains mandatory prepayment provisions requiring use of 70% of net cash proceeds from any Cash Sweep Financing (as defined in the Oramed Note) or advances under the ELOCs (as defined in the Oramed Note) to prepay the outstanding principal after the earlier of April 1, 2024 or full repayment of Acceptable Indebtedness (as defined in the Oramed Note).</w:t>
      </w:r>
    </w:p>
    <w:p>
      <w:pPr>
        <w:spacing w:after="0" w:line="188"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Oramed Note contains affirmative and negative covenants binding on Scilex and its subsidiaries, which includes Semnur, which restrict, among other things, Scilex and its subsidiaries (including Semnur), from incurring indebtedness or liens, amending charter and organizational documents, repaying or repurchasing stock, repaying, repurchasing, or acquiring indebtedness, paying or declaring cash dividends, assigning, selling, transferring or otherwise disposing of assets, making or holding investments, entering into transactions with affiliates, and entering into settlement agreements, in each case as more fully set forth in, and subject to certain qualifications, exceptions, and “baskets” set forth in the Oramed Note. As of December 31, 2024, the outstanding principal amount, as well as the accrued interest and fees, of the Oramed Note was $24,955,634, with the remaining amount due on March 21, 2025, which maturity date was extended to December 31, 2025 pursuant to an amendment letter Scilex entered into with Oramed, dated as of January 21, 2025.</w:t>
      </w:r>
    </w:p>
    <w:p>
      <w:pPr>
        <w:spacing w:after="0" w:line="19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September 21, 2023, in connection with the Scilex-Oramed SPA, Scilex and each of its subsidiaries, including the Company (collectively, the “Guarantors”), entered into a subsidiary guarantee (as amended, the “Subsidiary Guarantee”) with Oramed and Acquiom Agency Services LLC, as the collateral agent (the “Agent”)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for Oramed (together with its successors and permitted assigns, the “Holder”), pursuant to which, the Guarantors have agreed to guarantee and act as surety for payment of the Oramed Note and any additional notes issued by Scilex after the closing date of the transactions contemplated by the Scilex-Oramed SPA in full or partial substitution of the Oramed Note (the “Additional Notes”).</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September 21, 2023, Scilex and the Guarantors entered into a security agreement (the “Security Agreement”) with the Holder and the Agent, pursuant to which Scilex and the Guarantors granted to the Agent (on behalf of and for the benefit of the holders of the Oramed Note and any Additional Notes) a security interest in all or substantially all of Scilex’s and each Guarantor’s property, respectively, to secure the prompt payment, performance and discharge in full of all of Scilex’s obligations under the Oramed Note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w:t>
      </w:r>
    </w:p>
    <w:p>
      <w:pPr>
        <w:spacing w:after="0" w:line="187"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October 2024, Scilex and Oramed agreed, among other things, that from and after the consummation of the Business Combination, neither Semnur nor Denali shall be required to guarantee or otherwise grant security for any Transaction Documents (as defined in the Scilex-Oramed SPA, and including the Scilex-Oramed SPA, the Security Agreement and the Subsidiary Guarantee). Scilex and Oramed further agreed that on the date of the closing of the Business Combination, all security interests and liens with respect to the assets and property of Semnur granted or created under the Transaction Documents shall be deemed to be released, discharged and terminated. As of the date of this filing, Semnur is not a Guarantor under the Subsidiary Guarantee and the Security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Satisfaction and Discharge Agreement with Scilex and Sponsor</w:t>
      </w:r>
    </w:p>
    <w:p>
      <w:pPr>
        <w:spacing w:after="0" w:line="121" w:lineRule="exact"/>
        <w:rPr>
          <w:sz w:val="20"/>
          <w:szCs w:val="20"/>
          <w:color w:val="auto"/>
        </w:rPr>
      </w:pPr>
    </w:p>
    <w:p>
      <w:pPr>
        <w:ind w:left="120" w:right="580"/>
        <w:spacing w:after="0" w:line="289" w:lineRule="auto"/>
        <w:rPr>
          <w:sz w:val="20"/>
          <w:szCs w:val="20"/>
          <w:color w:val="auto"/>
        </w:rPr>
      </w:pPr>
      <w:r>
        <w:rPr>
          <w:rFonts w:ascii="Times New Roman" w:cs="Times New Roman" w:eastAsia="Times New Roman" w:hAnsi="Times New Roman"/>
          <w:sz w:val="17"/>
          <w:szCs w:val="17"/>
          <w:color w:val="auto"/>
        </w:rPr>
        <w:t>On April 11, 2023, Denali issued the Sponsor Convertible Promissory Note, as amended, to the Sponsor. Pursuant to the Sponsor Convertible Promissory Note, upon consummation of the Business Combination, Denali was obligated to pay the Sponsor $1,806,366.78, comprised of the outstanding principal amount of the Sponsor Convertible Promissory Note and accrued but unpaid interest (the “Sponsor Outstanding Balance”).</w:t>
      </w:r>
    </w:p>
    <w:p>
      <w:pPr>
        <w:spacing w:after="0" w:line="158"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Also as previously disclosed, on August 30, 2024, Scilex and the Sponsor entered into the SIPA, pursuant to which Scilex agreed to purchase certain shares of Denali that were held by the Sponsor for $2,000,000 and 300,000 shares of common stock of Scilex with such cash consideration being paid on the date of entry into the SIPA and the Sponsor SIPA Shares to be delivered to Sponsor upon consummation of the Business Combination).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Additionally, prior to the closing of the Business Combination, Scilex had advanced $69,973 to the Sponsor (the “Cash Advance”).</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22, 2025, Denali, Sponsor and Scilex entered a Satisfaction and Discharge of Indebtedness Agreement (the “Sponsor Agreement”), pursuant to which the parties agreed that the repayment of the Cash Advance was settled as a net reduction in the payments owed to Sponsor by Semnur on the date of the closing of the Business Combination. On such date, the Sponsor received $1,143,959.16 in cash (representing a $1,000,000 payment toward the Sponsor Outstanding Balance and a $213,932.16 payment in lieu of the Sponsor SIPA Shares, net of the repayment of the Cash Advance) and a promissory note issued by Semnur in the amount of $806,366.78 (the “Sponsor Note”). The Sponsor Note shall be payable in six monthly installments of approximately $134,394.46 beginning on October 1, 2025. Notwithstanding the foregoing payment schedule, the balance due on such note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 In addition, in the case of an event of default, Sponsor Note shall bear interest at a rate of 10% per annum until such event of default is cured. The Sponsor Note shall become immediately due and payable (in accordance with the terms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thereof), upon the Company’s failure to make payments thereunder when due (subject to a 14-day cure period) or certain other actions related to voluntary or involuntary bankruptcy proceedings (as more fully described therein).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and Director Compensation</w:t>
      </w:r>
    </w:p>
    <w:p>
      <w:pPr>
        <w:spacing w:after="0" w:line="119" w:lineRule="exact"/>
        <w:rPr>
          <w:sz w:val="20"/>
          <w:szCs w:val="20"/>
          <w:color w:val="auto"/>
        </w:rPr>
      </w:pPr>
    </w:p>
    <w:p>
      <w:pPr>
        <w:ind w:left="120" w:right="780"/>
        <w:spacing w:after="0" w:line="284" w:lineRule="auto"/>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for information regarding the compensation of our executive officers and non-employee directors.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We have entered into employment agreements with our named executive officers that, among other things, provide for certain compensatory and change in control benefits, as well as severance benefits. For descriptions of such agreements, see the section titled “</w:t>
      </w:r>
      <w:r>
        <w:rPr>
          <w:rFonts w:ascii="Times New Roman" w:cs="Times New Roman" w:eastAsia="Times New Roman" w:hAnsi="Times New Roman"/>
          <w:sz w:val="17"/>
          <w:szCs w:val="17"/>
          <w:i w:val="1"/>
          <w:iCs w:val="1"/>
          <w:color w:val="auto"/>
        </w:rPr>
        <w:t>Executive and Director Compensation</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 of Officers and Directors</w:t>
      </w:r>
    </w:p>
    <w:p>
      <w:pPr>
        <w:spacing w:after="0" w:line="119"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color w:val="auto"/>
        </w:rPr>
        <w:t>Directors and Executive Officers — Limitation of Liability and Indemnification of Directors and Officers</w:t>
      </w:r>
      <w:r>
        <w:rPr>
          <w:rFonts w:ascii="Times New Roman" w:cs="Times New Roman" w:eastAsia="Times New Roman" w:hAnsi="Times New Roman"/>
          <w:sz w:val="18"/>
          <w:szCs w:val="18"/>
          <w:color w:val="auto"/>
        </w:rPr>
        <w:t>” for information regarding our arrangements to provide indemnification to our officers and directors.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that sets forth our procedures for the identification, review, consideration and approval or ratification of related person transactions. For purposes of our policy,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and any of their respective immediate family members and any entity owned or controlled by such persons.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w:t>
      </w:r>
    </w:p>
    <w:p>
      <w:pPr>
        <w:spacing w:after="0" w:line="97"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our discretion.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40"/>
          </w:cols>
          <w:pgMar w:left="320" w:top="455" w:right="5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being offered by this prospectus will be passed upon for us by Paul Hastings LLP, Palo Alto, California.</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Semnur Pharmaceuticals, Inc. as of December 31, 2025 and 2024, and for the years then ended, included in this prospectus have been audited by Pipara &amp; Co LLP, an independent registered public accounting firm, as stated in their report (which report expresses an unqualified opinion and includes explanatory paragraphs relating to a going concern uncertainty and the use of a carve-out basis of accounting discussed in Notes 1 and 2), which is included herein. Such financial statements are included in reliance upon the report of such firm given their authority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00"/>
          </w:cols>
          <w:pgMar w:left="320" w:top="455" w:right="4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for our securities is VStock.</w:t>
      </w: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of which this prospectus is a part and the exhibits to such registration statement. The descriptions in this prospectus of the provisions of documents filed as exhibits to this prospectus are only summaries of those documents’ material terms. You can read copies of such documents, along with copies of reports, proxy statements and other information filed by us with the SEC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www.semnurpharma.com</w:t>
      </w:r>
      <w:r>
        <w:rPr>
          <w:rFonts w:ascii="Times New Roman" w:cs="Times New Roman" w:eastAsia="Times New Roman" w:hAnsi="Times New Roman"/>
          <w:sz w:val="18"/>
          <w:szCs w:val="18"/>
          <w:color w:val="auto"/>
        </w:rPr>
        <w:t>.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the inclusion of our website address in this prospectus is an inactive textual reference only</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40"/>
          </w:cols>
          <w:pgMar w:left="320" w:top="455" w:right="6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9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6420" w:type="dxa"/>
            <w:vAlign w:val="bottom"/>
            <w:gridSpan w:val="6"/>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40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20" w:type="dxa"/>
            <w:vAlign w:val="bottom"/>
            <w:gridSpan w:val="6"/>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tc>
        <w:tc>
          <w:tcPr>
            <w:tcW w:w="14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 (Pipara &amp; Co LLP, New Delhi, India, PCAOB ID #6841)</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20" w:type="dxa"/>
            <w:vAlign w:val="bottom"/>
          </w:tcPr>
          <w:p>
            <w:pPr>
              <w:spacing w:after="0"/>
              <w:rPr>
                <w:sz w:val="17"/>
                <w:szCs w:val="17"/>
                <w:color w:val="auto"/>
              </w:rPr>
            </w:pPr>
          </w:p>
        </w:tc>
        <w:tc>
          <w:tcPr>
            <w:tcW w:w="8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140" w:type="dxa"/>
            <w:vAlign w:val="bottom"/>
          </w:tcPr>
          <w:p>
            <w:pPr>
              <w:spacing w:after="0"/>
              <w:rPr>
                <w:sz w:val="17"/>
                <w:szCs w:val="17"/>
                <w:color w:val="auto"/>
              </w:rPr>
            </w:pPr>
          </w:p>
        </w:tc>
        <w:tc>
          <w:tcPr>
            <w:tcW w:w="140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Years ended December 31, 2025 and 2024</w:t>
            </w:r>
          </w:p>
        </w:tc>
        <w:tc>
          <w:tcPr>
            <w:tcW w:w="140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 for the Years ended December 31, 2025 and 2024</w:t>
            </w:r>
          </w:p>
        </w:tc>
        <w:tc>
          <w:tcPr>
            <w:tcW w:w="1100" w:type="dxa"/>
            <w:vAlign w:val="bottom"/>
            <w:tcBorders>
              <w:top w:val="single" w:sz="8" w:color="0000EE"/>
            </w:tcBorders>
          </w:tcPr>
          <w:p>
            <w:pPr>
              <w:spacing w:after="0"/>
              <w:rPr>
                <w:sz w:val="17"/>
                <w:szCs w:val="17"/>
                <w:color w:val="auto"/>
              </w:rPr>
            </w:pPr>
          </w:p>
        </w:tc>
        <w:tc>
          <w:tcPr>
            <w:tcW w:w="1280" w:type="dxa"/>
            <w:vAlign w:val="bottom"/>
            <w:gridSpan w:val="2"/>
          </w:tcPr>
          <w:p>
            <w:pPr>
              <w:spacing w:after="0"/>
              <w:rPr>
                <w:sz w:val="17"/>
                <w:szCs w:val="17"/>
                <w:color w:val="auto"/>
              </w:rPr>
            </w:pPr>
          </w:p>
        </w:tc>
        <w:tc>
          <w:tcPr>
            <w:tcW w:w="140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20" w:type="dxa"/>
            <w:vAlign w:val="bottom"/>
          </w:tcPr>
          <w:p>
            <w:pPr>
              <w:spacing w:after="0"/>
              <w:rPr>
                <w:sz w:val="17"/>
                <w:szCs w:val="17"/>
                <w:color w:val="auto"/>
              </w:rPr>
            </w:pPr>
          </w:p>
        </w:tc>
        <w:tc>
          <w:tcPr>
            <w:tcW w:w="6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3040" w:type="dxa"/>
            <w:vAlign w:val="bottom"/>
            <w:gridSpan w:val="4"/>
          </w:tcPr>
          <w:p>
            <w:pPr>
              <w:spacing w:after="0"/>
              <w:rPr>
                <w:sz w:val="17"/>
                <w:szCs w:val="17"/>
                <w:color w:val="auto"/>
              </w:rPr>
            </w:pPr>
          </w:p>
        </w:tc>
        <w:tc>
          <w:tcPr>
            <w:tcW w:w="140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120" w:type="dxa"/>
            <w:vAlign w:val="bottom"/>
          </w:tcPr>
          <w:p>
            <w:pPr>
              <w:spacing w:after="0"/>
              <w:rPr>
                <w:sz w:val="17"/>
                <w:szCs w:val="17"/>
                <w:color w:val="auto"/>
              </w:rPr>
            </w:pPr>
          </w:p>
        </w:tc>
        <w:tc>
          <w:tcPr>
            <w:tcW w:w="9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40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4920" w:type="dxa"/>
            <w:vAlign w:val="bottom"/>
            <w:gridSpan w:val="5"/>
          </w:tcPr>
          <w:p>
            <w:pPr>
              <w:jc w:val="center"/>
              <w:ind w:right="3200"/>
              <w:spacing w:after="0"/>
              <w:rPr>
                <w:sz w:val="20"/>
                <w:szCs w:val="20"/>
                <w:color w:val="auto"/>
              </w:rPr>
            </w:pPr>
            <w:r>
              <w:rPr>
                <w:rFonts w:ascii="Times New Roman" w:cs="Times New Roman" w:eastAsia="Times New Roman" w:hAnsi="Times New Roman"/>
                <w:sz w:val="18"/>
                <w:szCs w:val="18"/>
                <w:color w:val="auto"/>
                <w:w w:val="95"/>
              </w:rPr>
              <w:t>F-1</w:t>
            </w:r>
          </w:p>
        </w:tc>
        <w:tc>
          <w:tcPr>
            <w:tcW w:w="1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Semnur Pharmaceuticals,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Semnur Pharmaceuticals, Inc. and subsidiaries (the “Company”) as of December 31, 2025 and 2024, the related consolidated statements of operations and comprehensive loss, stockholders’ deficit, and cash flows, for each of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of the two years in the period ended December 31, 2025,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Company’s Ability to Continue as a Going Concern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negative working capital, has suffered losses from operations, has recurring negative cash flows from operations, dependence upon the support from its parent, Scilex Holding Company, and the success of future development and regulatory approval of SP-102. These factors raise substantial doubt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right="60"/>
        <w:spacing w:after="0" w:line="281"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PIPARA &amp; CO LLP (6841)</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Delhi, India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5,981</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5,912</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Promissory notes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loan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49,433</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49,468</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45,000,000 shares authorized as of December 31, 2025 and 2024;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5,423,606 and no shares issued and outstanding as of December 31, 2025 and 2024,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740,000,000 and 200,000,000 shares authorized as of December 31, 2025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2024, respectively; 230,209,142 and 200,000,000 issued and outstanding as of December 31, 2025 and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2024,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255,026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72,580</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6"/>
              </w:rPr>
              <w:t>(275,800)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(115,384)</w:t>
            </w: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(42,784)</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160,416</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(160,416)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(160,416</w:t>
            </w:r>
          </w:p>
        </w:tc>
        <w:tc>
          <w:tcPr>
            <w:tcW w:w="7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204,784,615</w:t>
            </w:r>
          </w:p>
        </w:tc>
        <w:tc>
          <w:tcPr>
            <w:tcW w:w="2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left="402"/>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148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300" w:type="dxa"/>
            <w:vAlign w:val="bottom"/>
            <w:gridSpan w:val="3"/>
          </w:tcPr>
          <w:p>
            <w:pPr>
              <w:jc w:val="center"/>
              <w:ind w:left="20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2"/>
        </w:trPr>
        <w:tc>
          <w:tcPr>
            <w:tcW w:w="34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4"/>
                <w:szCs w:val="14"/>
                <w:color w:val="auto"/>
              </w:rPr>
            </w:pPr>
          </w:p>
        </w:tc>
        <w:tc>
          <w:tcPr>
            <w:tcW w:w="840" w:type="dxa"/>
            <w:vAlign w:val="bottom"/>
            <w:gridSpan w:val="2"/>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160,000,000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2</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(110,694)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Retroactive application of recapitalization</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(160,000,000)</w:t>
            </w:r>
          </w:p>
        </w:tc>
        <w:tc>
          <w:tcPr>
            <w:tcW w:w="200" w:type="dxa"/>
            <w:vAlign w:val="bottom"/>
          </w:tcPr>
          <w:p>
            <w:pPr>
              <w:spacing w:after="0"/>
              <w:rPr>
                <w:sz w:val="17"/>
                <w:szCs w:val="17"/>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balance, January 1, 2024</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(110,694)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(38,094)</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(4,690)</w:t>
            </w:r>
          </w:p>
        </w:tc>
        <w:tc>
          <w:tcPr>
            <w:tcW w:w="1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2024</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1"/>
              </w:rPr>
              <w:t>— </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(115,384)</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(42,784)</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preferred stock and common stock for</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Exchange Agreement</w:t>
            </w:r>
          </w:p>
        </w:tc>
        <w:tc>
          <w:tcPr>
            <w:tcW w:w="7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5,423,606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for Business</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Combination</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2,598,617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(12,787)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to consultants</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26,500,000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139,998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to underwriters</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cashless exercise</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of warrants</w:t>
            </w: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468,164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7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(160,416)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(160,416)</w:t>
            </w:r>
          </w:p>
        </w:tc>
        <w:tc>
          <w:tcPr>
            <w:tcW w:w="0" w:type="dxa"/>
            <w:vAlign w:val="bottom"/>
          </w:tcPr>
          <w:p>
            <w:pPr>
              <w:spacing w:after="0"/>
              <w:rPr>
                <w:sz w:val="1"/>
                <w:szCs w:val="1"/>
                <w:color w:val="auto"/>
              </w:rPr>
            </w:pPr>
          </w:p>
        </w:tc>
      </w:t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5,423,606</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w w:val="74"/>
              </w:rPr>
              <w:t>1</w:t>
            </w:r>
          </w:p>
        </w:tc>
        <w:tc>
          <w:tcPr>
            <w:tcW w:w="1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230,209,142</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255,026</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(275,800</w:t>
            </w:r>
          </w:p>
        </w:tc>
        <w:tc>
          <w:tcPr>
            <w:tcW w:w="2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tcPr>
          <w:p>
            <w:pPr>
              <w:spacing w:after="0"/>
              <w:rPr>
                <w:sz w:val="15"/>
                <w:szCs w:val="15"/>
                <w:color w:val="auto"/>
              </w:rPr>
            </w:pPr>
          </w:p>
        </w:tc>
        <w:tc>
          <w:tcPr>
            <w:tcW w:w="188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(160,416)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(4,891)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related party loan</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30"/>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equipment through related party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offering costs paid through related party loan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7,602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promissory notes through related party loan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liabilities assumed in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loan settled in preferred stock pursuant to Debt Exchange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54,236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loan settled in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Promissory notes settled in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Principal Activities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Semnur Pharmaceuticals, Inc. (“Semnur” or the “Company”) is the successor entity to Denali Capital Acquisition Corp. (“Denali”). The Company is a Delaware corporation and is headquartered in Palo Alto, California. As of December 31, 2025, the Company has two wholly owned subsidiaries, Semnur (BVI), Limited and Semnur, Inc.</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Denali was formed on January 5, 2022 as a Cayman Islands exempted company for the purpose of effecting a merger, share exchange, asset acquisition, share purchase, reorganization or similar business combination with one or more businesses or entities. Denali’s initial public offering (the “IPO”) became effective on April 6, 2022.</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Legacy Semnur (as defined below), now known as Semnur, Inc., was originally formed in 2013 and became a wholly owned subsidiary of Scilex Holding Company (“Scilex”) in 2019.</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Company is a late-stage clinical biopharmaceutical company focused on developing and commercializing innovative non-opioid pain management products for the treatment of acute and chronic pain.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lead product candidate is SP-102 (10 mg, dexamethasone sodium phosphate viscous gel) (“SP-102” or “SEMDEXA”), a novel, viscous gel formulation of a widely used corticosteroid for epidural injections to treat lumbosacral radicular pain, or sciatica, for which the Company has completed a pivotal Phase 3 study and initiated the second Phase 3 study in September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References to “Legacy Semnur” refer to the private Delaware corporation that is now the Company’s wholly owned subsidiary and named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Semnur, Inc. (formerly known as “Semnur Pharmaceuticals, Inc.”). Unless otherwise noted or the context requires otherwise, references to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refer to the Company’s common stock, par value $0.0001 per share.</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September 22, 2025 (the “Closing”), the Company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Pursuant to the Merger Agreement, the Company acquired all of the issued and outstanding equity interests of Legacy Semnur and Denali.</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Stock and warrants were listed on the OTC Markets Group, Inc. on September 23, 2025 under the new ticker symbols “SMNR” and “SMNRW”, respectively.</w:t>
      </w:r>
    </w:p>
    <w:p>
      <w:pPr>
        <w:spacing w:after="0" w:line="162"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In accordance with the terms and subject to the conditions of the Merger Agreement, at Closing, (i) each outstanding share of Legacy Semnur common stock outstanding immediately prior to Closing was automatically cancelled in exchange for the right to receive 1.25 shares (the “Exchange Ratio”) of Common Stock, (ii) each share of Legacy Semnur preferred stock outstanding immediately prior to the Closing was cancelled in exchange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for the right to receive (a) one share of Series A Preferred Stock (as defined in Note 6) and (b) one-tenth of one share of Common Stock, and (iii) each option to purchase shares of Legacy Semnur common stock outstanding as of immediately prior to the Closing was converted into the right to receive a comparable option to purchase shares of Common Stock.</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such, 160,000,000 shares of Legacy Semnur common stock held by Scilex and certain subsidiaries thereof and 40,000,000 Legacy Semnur stock options held by certain Scilex employees, respectively, were automatically cancelled in exchange for 200,000,000 shares of Common Stock and 50,000,000 options to purchase Common Stock, respectively, at the Exchange Ratio.</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pursuant to the terms of the Debt Exchange Agreement (as defined in Note 8), all existing related party indebtedness between the Company and Scilex, totaling $54.2 million, was converted into 5,423,606 shares of Legacy Semnur Series A preferred stock. At Closing, such shares were exchanged for 5,423,606 shares of Series A Preferred Stock and 542,361 shares of Common Stock.</w:t>
      </w:r>
    </w:p>
    <w:p>
      <w:pPr>
        <w:spacing w:after="0" w:line="176"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Additionally, at Closing, (i) loans between Scilex and Denali of $0.1 million were converted to 12,488 shares of Common Stock, (ii) 500,000 ordinary shares of Denali held by Scilex (see SIPA below) were converted into 500,000 shares of Common Stock and (iv) 2,072,500 ordinary shares of Denali held by Denali Capital Global Investments LLC (the “Sponsor”) (the “Sponsor Shares”) were converted into 2,072,500 shares of Common Stock.</w:t>
      </w:r>
    </w:p>
    <w:p>
      <w:pPr>
        <w:spacing w:after="0" w:line="156"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color w:val="auto"/>
        </w:rPr>
        <w:t>Simultaneously with the Closing, 26,500,000 shares of Common Stock were issued to consultants (see Note 6 “</w:t>
      </w:r>
      <w:r>
        <w:rPr>
          <w:rFonts w:ascii="Times New Roman" w:cs="Times New Roman" w:eastAsia="Times New Roman" w:hAnsi="Times New Roman"/>
          <w:sz w:val="18"/>
          <w:szCs w:val="18"/>
          <w:i w:val="1"/>
          <w:iCs w:val="1"/>
          <w:color w:val="auto"/>
        </w:rPr>
        <w:t>Capital Structure —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with Stock Remuneration</w:t>
      </w:r>
      <w:r>
        <w:rPr>
          <w:rFonts w:ascii="Times New Roman" w:cs="Times New Roman" w:eastAsia="Times New Roman" w:hAnsi="Times New Roman"/>
          <w:sz w:val="18"/>
          <w:szCs w:val="18"/>
          <w:color w:val="auto"/>
        </w:rPr>
        <w:t>”) and 100,000 shares of Common Stock were issued to Denali underwriters.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Company’s Common Stock immediately following the Business Combination:</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Holders</w:t>
            </w:r>
          </w:p>
        </w:tc>
        <w:tc>
          <w:tcPr>
            <w:tcW w:w="12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Denali public shareholders</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Sponsor</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2,072,500</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Scilex Holding Company</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201,054,849</w:t>
            </w:r>
          </w:p>
        </w:tc>
        <w:tc>
          <w:tcPr>
            <w:tcW w:w="6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Consultants</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26,500,000</w:t>
            </w:r>
          </w:p>
        </w:tc>
        <w:tc>
          <w:tcPr>
            <w:tcW w:w="6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Denali underwriters</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r>
      <w:tr>
        <w:trPr>
          <w:trHeight w:val="223"/>
        </w:trPr>
        <w:tc>
          <w:tcPr>
            <w:tcW w:w="6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229,740,978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Because Scilex controlled the Company before the Business Combination and will also control the Company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assets and liabilities of Denali are recognized at historical cost and no goodwill or other intangible assets are recorded.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At Closing, the assets and liabilities of Denali recognized at historical cost included prepaid expenses of $12 thousand, accounts payable of $4.4 million, related party liabilities of $3.9 million and notes payable of $4.6 million.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Sponsor Interest Purchase Agreement (the “SIPA”)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and delivery of the Merger Agreement, the “Sponsor and Scilex entered into the SIPA dated August 30, 2024. Pursuant to the SIPA, Scilex agreed to purchase 500,000 Class B ordinary shares, par value $0.0001 per share (the “Purchased Interests”), of the Company that were held by the Sponsor. The aggregate consideration for the purchase and sale of the Purchased Interests is as follows: (i) $2.0 million (the “Cash Consideration”) and (ii) 300,000 shares of common stock, par value $0.0001 per share, of Scilex (the “Scilex Shares”). Pursuant to the SIPA, Scilex paid the Cash Consideration and agreed to issue the Scilex Shares to the Sponsor contingent upon and following the occurrence of the Business Combination. The Purchased Interests converted automatically, on a one-for-one basis, into one Common Stock share upon Closing pursuant to the terms of the Merger Agreement. On September 22, 2025, the requirement to deliver the Scilex Shares was discharged pursuant to that certain Satisfaction and Discharge Agreement by and among the Company, Sponsor and Scilex.</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(the “PIPE SPA”)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20, 2025, the Company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As of December 31, 2025, the transaction has not closed and accordingly, the shares have not been issued and the funds have not been received. As the transaction did not close on or before December 31, 2025, the nonbreaching party has an option to terminate the PIPE SPA without liability.</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PIPE SPA, the Company is obligated to pay a cash financing service fee of 7% of the received investment funds (see Note 6 “</w:t>
      </w:r>
      <w:r>
        <w:rPr>
          <w:rFonts w:ascii="Times New Roman" w:cs="Times New Roman" w:eastAsia="Times New Roman" w:hAnsi="Times New Roman"/>
          <w:sz w:val="18"/>
          <w:szCs w:val="18"/>
          <w:i w:val="1"/>
          <w:iCs w:val="1"/>
          <w:color w:val="auto"/>
        </w:rPr>
        <w:t>Capital Structure — Consulting Services Agreement with JW Investment Management Company Limited</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Bitcoin Securities Purchase Agreement (the “Semnur/Biconomy SPA”)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September 23, 2025, the Company entered into the Semnur/Biconomy SPA with Biconomy PTE.LTD (“Biconomy”). Pursuant to the Semnur/Biconomy SPA, the Company agreed to issue and sell, and Biconomy agreed to purchase, 6,250,000 shares of Common Stock, at a purchase price of $16.00 per share, for an aggregate purchase price of $100.0 million, payable in Bitcoin blockchain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As of December 31, 2025, the transaction has not closed and accordingly, the shares have not been issued and the funds have not been received. As the transaction did not close on or before December 31, 2025, the nonbreaching party has an option to terminate the Semnur/Biconomy SPA without liability.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Business Combination, 8,760,000 public and private placement warrants that were issued by Denali in connection with its IPO (“Public Warrants” and “Private Warrants”, respectively, and together, the “Warrants”) remained outstanding and pursuant to the terms thereof holders of such warrants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entitled to acquire shares of Semnur Common Stock at an exercise price of $11.50. The Warrants expire in September 2027.</w:t>
      </w:r>
    </w:p>
    <w:p>
      <w:pPr>
        <w:spacing w:after="0" w:line="225"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In December 2025, 1,327,878 Warrants were exercised on a cashless basis for 468,164 shares of the Company’s Common Stock. As of December 31, 2025 there were 7,432,122 Warrants outstanding which are exercisable for 7,432,122 shares of Common Stock.</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may redeem any unexpired Warrants prior to their exercise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the Company may exercise its redemption right even if they are unable to register or qualify the underlying securities for sale under all applicable state securities laws. In addition, the Company may redeem the Warrants at any time after they become exercisable and prior to their expiration for a number of shares of Common Stock determined based on the fair market value of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consolidated financial statements.</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$20 thousand and accumulated deficit of $275.8 million. During the year ended December 31, 2025, the Company had operating losses of $160.4 million and used $5.9 million of cash in operations.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SP-102.</w:t>
      </w:r>
    </w:p>
    <w:p>
      <w:pPr>
        <w:spacing w:after="0" w:line="183"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SP-102.</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consolidated financial statements are issued.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Forward Stock Split</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August 30, 2024, the Company effected a 160,000-for-1 forward stock split of all outstanding shares of Common Stock which proportionally increased the number of all issued and outstanding shares of Common Stock from 1,000 to 160,000,000 and did not change the par value per share. All equity-related information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including per share amounts for all periods presented within these consolidated financial statements have been adjusted retroactively, where applicable, to reflect the forward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and have been prepared in accordance with accounting principles generally accepted in the United States of America (“GAAP”) and include all adjustments necessary for the fair presentation of the Company’s financial position for the periods presented. All intercompany balances and transactions have been eliminated in consolidation. Certain prior period amounts in the statement of cash flows have been reclassified to conform to the current period presentation.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Carve-Out Method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Company’s financial results are included in Scilex’s consolidated financial results.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assets, liabilities, and expenses that are directly attributable to the Company, including the assets, liabilities, and expenses of the SP-102 development program. The assets and liabilities excluded from the accompanying consolidated financial statements consist of:</w:t>
      </w:r>
    </w:p>
    <w:p>
      <w:pPr>
        <w:spacing w:after="0" w:line="81" w:lineRule="exact"/>
        <w:rPr>
          <w:sz w:val="20"/>
          <w:szCs w:val="20"/>
          <w:color w:val="auto"/>
        </w:rPr>
      </w:pPr>
    </w:p>
    <w:p>
      <w:pPr>
        <w:ind w:left="1080" w:right="38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consolidated financial statements.</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and liabilities at Scilex which are not directly related to, or are not specifically owned by, or are not commitments, of the Company, including certain fixed assets, intangible assets, and leases shared by the Company with other business operations of Scilex.</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080" w:right="220" w:hanging="424"/>
        <w:spacing w:after="0" w:line="258"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debt held by Scilex and the related interest expense have not been allocated to the Company’s consolidated financial statements as the Company was not the legal obligor of the third-party debt and Scilex’s borrowings were not directly attributable to the Company. To fund the Company’s operating cash flow needs, Scilex made payments on behalf of the Company directly to vendors and allocated non-cash stock-based compensation expenses during the year ended December 31, 2025. See Note 8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for additional details.</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Company’s operating expenses consisted of both research and development (“R&amp;D”) and general and administrative (“G&amp;A”) expenses. R&amp;D expenses directly related to the Company, including third-party costs of conducting studies and clinical trials for the SP-102 product candidate, were entirely attributed to the Company in the accompanying consolidated financial statements. R&amp;D salaries, wages, benefits, and stock-based compensation related to Scilex’s equity incentive plans were allocated to the Company based on the estimated percentage of time certain Scilex R&amp;D employees spent on the SP-102 program during the reporting period.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SP-102 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and comprehensive loss.</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believes the assumptions and allocations underlying the accompanying consolidated financial statements were reasonable and appropriate under the circumstances. Nevertheless, the Company’s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these consolidated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SP-102 program, which is used to calculate the amount of operating expenses allocated from Scilex as discussed in the </w:t>
      </w:r>
      <w:r>
        <w:rPr>
          <w:rFonts w:ascii="Times New Roman" w:cs="Times New Roman" w:eastAsia="Times New Roman" w:hAnsi="Times New Roman"/>
          <w:sz w:val="18"/>
          <w:szCs w:val="18"/>
          <w:i w:val="1"/>
          <w:iCs w:val="1"/>
          <w:color w:val="auto"/>
        </w:rPr>
        <w:t>“Carve-Out Method”</w:t>
      </w:r>
      <w:r>
        <w:rPr>
          <w:rFonts w:ascii="Times New Roman" w:cs="Times New Roman" w:eastAsia="Times New Roman" w:hAnsi="Times New Roman"/>
          <w:sz w:val="18"/>
          <w:szCs w:val="18"/>
          <w:color w:val="auto"/>
        </w:rPr>
        <w:t xml:space="preserve"> section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product candidates developed by the Company will require approvals from the U.S. Food and Drug Administration (the “FDA”) or foreign regulatory agencies prior to commercial sales. There can be no assurance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that the Company’s current and future product candidates will meet desired efficacy and safety requirements to obtain the necessary approvals. If approval is denied or delayed, it may have a material adverse impact on the Company’s business and its consolidated financial statements.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late-stage 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spacing w:after="0" w:line="180"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Supply Risk</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contracts with third parties for the manufacture, assembly, testing, packaging and storage of its product candidate. The Company’s contract manufacturing organizations (“CMOs”) comply with Current Good Manufacturing Practice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Lifecore Master Services Agreement</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the Company granted Lifecore a nonexclusive, worldwide and royalty-free license under the Company’s owned or controlled intellectual property rights necessary to manufacture SP-102, without additional right, title or interest in the Company’s intellectual property.</w:t>
      </w:r>
    </w:p>
    <w:p>
      <w:pPr>
        <w:spacing w:after="0" w:line="187"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Lifecore Master Services Agreement expires on December 31, 2028, unless terminated earlier in accordance with the terms of such agreement, or unless renewed further by the parties. Either party may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terminate the Lifecore Master Services Agreement (1) if the other party is in material breach of the agreement and fails to cure such breach within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30 days of written notice, subject to certain exceptions; or (2) immediately upon written notice to the other party if the other party (a) becomes insolvent,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ceases to function as a going concern, (c) is convicted of or pleads guilty to a charge of violating any law relating to either party’s business, or</w:t>
      </w:r>
    </w:p>
    <w:p>
      <w:pPr>
        <w:spacing w:after="0" w:line="9" w:lineRule="exact"/>
        <w:rPr>
          <w:sz w:val="20"/>
          <w:szCs w:val="20"/>
          <w:color w:val="auto"/>
        </w:rPr>
      </w:pPr>
    </w:p>
    <w:p>
      <w:pPr>
        <w:ind w:left="120" w:right="20" w:hanging="4"/>
        <w:spacing w:after="0" w:line="277" w:lineRule="auto"/>
        <w:tabs>
          <w:tab w:leader="none" w:pos="37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Lifecore Master Services Agreement contains customary reciprocal indemnification obligations for Lifecore and Semnur.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 ended December 31, 2025, the Company incurred expenses of $0.9 million related to the Lifecore Master Services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where separate discrete financial information is available for evaluation by the chief operating decision maker in making decisions on how to allocate resources and assesses performance. The Company has determined that its chief operating decision maker (“CODM”) is its Chief Executive Officer, as he is responsible for making decisions regarding the allocation of resources and assessing performance as well as for strategic operational decisions. Since inception, the Company has devoted all of its efforts to the development of SP-102. Accordingly, the Company has determined that it operates its business as a single operating segment and has one reportable segment. The CODM assesses performance and decides how to allocate resources based on net loss. Net loss is used to monitor budget versus actual results. The measure of segment net loss and segment expenses is reported on the consolidated statements of operations and comprehensive loss. The measure of segment assets is reported on the consolidated balance sheets as total assets. All long-lived assets are maintained in the United States of America and Switzerland.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to be cash equivalents, such as money market accounts. The Company minimizes its credit risk associated with cash and cash equivalents by periodically evaluating the credit quality of its primary financial institution.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Observable inputs such as unadjusted, quoted prices in active markets for identical assets or liabilities at the measurement date;</w:t>
      </w:r>
    </w:p>
    <w:p>
      <w:pPr>
        <w:spacing w:after="0" w:line="225"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Inputs (other than quoted prices included in Level 1) that are either directly or indirectly observable inputs for similar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These include quoted prices for identical or similar assets 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liabilities in active markets and quoted prices for identical or similar assets or liabilities in markets that are not active; and</w:t>
      </w:r>
    </w:p>
    <w:p>
      <w:pPr>
        <w:spacing w:after="0" w:line="221"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Significant unobservable inputs which are supported by little or no market activity and that are financial instruments whose values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using pricing models, discounted cash flow methodologies, or similar techniques, as well as instruments for which the determination of fair value requires significant judgment or estimation.</w:t>
      </w:r>
    </w:p>
    <w:p>
      <w:pPr>
        <w:spacing w:after="0" w:line="17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Company’s financial assets carried at fair value are comprised of cash and cash equivalents. Cash and cash equivalents consist of money market accounts and bank deposits which are highly liquid and readily tradable. These assets are Level 1 assets as they are valued using inputs observable in active markets for identical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Company’s legal, accounting and other fees directly attributable to the Business Combination were deferred and capitalized within other current assets on the consolidated balance sheets. Total costs deferred and capitalized in relation to the Business Combination as of December 31, 2024 were $6.0 million. Deferred offering costs of $9.9 million were fully expensed upon Closing of the Business Combination within G&amp;A expenses on the consolidated statement of operations and comprehensive loss for the year ended December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Depreciation of property and equipment is computed using the straight-line method over the estimated useful lives of the assets, which are generally five to seven years. The cost of repairs and maintenance is expensed as incurred. Costs for property and equipment not yet placed into service are capitalized as construction-in-progress and depreciated once placed into service.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use of an asset are less than its carrying amount. The impairment loss would be based on the excess of the carrying value of the impaired asset over its fair value, determined based on discounted cash flows. There was no impairment of long-lived assets during the years ended December 31, 2025 and 2024.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and Related Party Loan</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promissory notes and related party loan 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related guidance. Debt is recognized at the issuance date fair value, net of any debt discounts or issuance costs. Debt is subsequently carried at amortized cost, with any applicable interest expense recognized using the effective interest method over the contractual term.</w:t>
      </w:r>
    </w:p>
    <w:p>
      <w:pPr>
        <w:spacing w:after="0" w:line="17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debt is amended or exchanged, the Company evaluates whether the modification is considered a troubled debt restructuring or an extinguishment under ASC 470-50. When extinguishment accounting applies, the old debt is derecognized and any difference between the reacquisition price and the carrying amount of the extinguished debt is recognized in earnings.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paid-in-capital at the time of issuance. For issued or modified warrants that do not meet all of the criteria for equity classification, the warrants are required to be recorded at their initial fair value on the date of issuance, and each balance sheet date thereafter. As of December 31, 2025 and 2024, the Company has accounted for the Warrants as equity-classified instruments.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Company expenses the cost of R&amp;D as incurred. R&amp;D expenses are comprised of costs incurred in performing R&amp;D activities, including clinical trial costs, manufacturing costs for clinical 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ASC 730, </w:t>
      </w:r>
      <w:r>
        <w:rPr>
          <w:rFonts w:ascii="Times New Roman" w:cs="Times New Roman" w:eastAsia="Times New Roman" w:hAnsi="Times New Roman"/>
          <w:sz w:val="17"/>
          <w:szCs w:val="17"/>
          <w:i w:val="1"/>
          <w:iCs w:val="1"/>
          <w:color w:val="auto"/>
        </w:rPr>
        <w:t>Research and Development.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establishes accounting for equity instruments exchanged for employee and consulting services. Stock-based compensation cost is measured at the grant date, based on the fair value of the award determined using the Black-Scholes option pricing model, and is recognized as an expense, under the straight-line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method, over the employee’s requisite service period (generally the vesting period of the equity grant) or non-employee’s vesting period. The Company accounts for forfeitures as incurred.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statement of operations.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Stock-based compensation for Scilex employees who provide services and support activities related to the Company are allocated and attributed to the Company based on the estimated percentage of their time spent providing services attributable to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w:t>
      </w:r>
    </w:p>
    <w:p>
      <w:pPr>
        <w:spacing w:after="0" w:line="18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to compute the differences between the tax basis of assets and liabilities and the related financial amounts, using currently enacted tax rates.</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has deferred tax assets, which are subject to periodic recoverability assessments. Valuation allowances are established, when necessary, to reduce deferred tax assets to the amount that more likely than not will be realized.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from non-owner sources.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no components of comprehensive loss for the Company. Thus, comprehensive loss is the same as the net loss for the periods presented.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and warrants.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2023-08, </w:t>
      </w:r>
      <w:r>
        <w:rPr>
          <w:rFonts w:ascii="Times New Roman" w:cs="Times New Roman" w:eastAsia="Times New Roman" w:hAnsi="Times New Roman"/>
          <w:sz w:val="18"/>
          <w:szCs w:val="18"/>
          <w:i w:val="1"/>
          <w:iCs w:val="1"/>
          <w:color w:val="auto"/>
        </w:rPr>
        <w:t>Intangibles — Goodwill and Other — Crypto Assets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350-60): Accounting for and Disclosure of Crypto Assets </w:t>
      </w:r>
      <w:r>
        <w:rPr>
          <w:rFonts w:ascii="Times New Roman" w:cs="Times New Roman" w:eastAsia="Times New Roman" w:hAnsi="Times New Roman"/>
          <w:sz w:val="18"/>
          <w:szCs w:val="18"/>
          <w:color w:val="auto"/>
        </w:rPr>
        <w:t>(“ASU 2023-08”), which requires cryptocurrency assets to be measured at fair value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and gains and losses from changes in the fair value of cryptocurrency assets to be recognized on the statement of operations and comprehensive loss in each reporting period. ASU 2023-08 also requires certain interim and annual disclosures with respect to cryptocurrency holdings. The Company adopted ASU 2023-08 for the fiscal year beginning January 1, 2025 and the adoption did not have any impact to the Company’s consolidated financial statements as the Company did not have any cryptocurrency holdings at adoption.</w:t>
      </w:r>
    </w:p>
    <w:p>
      <w:pPr>
        <w:spacing w:after="0" w:line="182"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(“ASU 2023-09”) requiring enhancements and further transparency to certain income tax disclosures, most notably the tax rate reconciliation and income taxes paid. ASU 2023-09 does not change the recognition or measurement of income taxes under ASC 740. The Company adopted ASU 2023-09 on a prospective basis for the fiscal year ended December 31, 2025 and other than the presentation of additional disaggregated data in the income tax footnote disclosure, there was no material impact on the Company’s consolidated financial statements. Prior-period comparative disclosures for the income tax footnote have not been recast to the expanded format required by ASU 2023-09, consistent with the transition guidance in ASU 2023-09.</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which requires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consolidated financial statements and related disclosures.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3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1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&amp; development</w:t>
            </w:r>
          </w:p>
        </w:tc>
        <w:tc>
          <w:tcPr>
            <w:tcW w:w="3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$436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8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1"/>
              </w:rPr>
              <w:t>— </w:t>
            </w:r>
          </w:p>
        </w:tc>
      </w:tr>
      <w:tr>
        <w:trPr>
          <w:trHeight w:val="27"/>
        </w:trPr>
        <w:tc>
          <w:tcPr>
            <w:tcW w:w="31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w:t>
            </w:r>
          </w:p>
        </w:tc>
        <w:tc>
          <w:tcPr>
            <w:tcW w:w="44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180" w:type="dxa"/>
            <w:vAlign w:val="bottom"/>
          </w:tcPr>
          <w:p>
            <w:pPr>
              <w:spacing w:after="0"/>
              <w:rPr>
                <w:sz w:val="24"/>
                <w:szCs w:val="24"/>
                <w:color w:val="auto"/>
              </w:rPr>
            </w:pPr>
          </w:p>
        </w:tc>
        <w:tc>
          <w:tcPr>
            <w:tcW w:w="4460" w:type="dxa"/>
            <w:vAlign w:val="bottom"/>
            <w:gridSpan w:val="3"/>
          </w:tcPr>
          <w:p>
            <w:pPr>
              <w:jc w:val="right"/>
              <w:ind w:right="3280"/>
              <w:spacing w:after="0"/>
              <w:rPr>
                <w:sz w:val="20"/>
                <w:szCs w:val="20"/>
                <w:color w:val="auto"/>
              </w:rPr>
            </w:pPr>
            <w:r>
              <w:rPr>
                <w:rFonts w:ascii="Times New Roman" w:cs="Times New Roman" w:eastAsia="Times New Roman" w:hAnsi="Times New Roman"/>
                <w:sz w:val="18"/>
                <w:szCs w:val="18"/>
                <w:color w:val="auto"/>
              </w:rPr>
              <w:t>F-18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3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$750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750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689</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recognized no depreciation expense for years ended December 31, 2025 and 2024. Costs for long-lived assets not yet placed into service are capitalized as construction-in-progress and depreciated once placed into service.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04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09"/>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&amp; development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469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1"/>
              </w:rPr>
              <w:t>— </w:t>
            </w:r>
          </w:p>
        </w:tc>
      </w:tr>
      <w:tr>
        <w:trPr>
          <w:trHeight w:val="223"/>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r>
      <w:tr>
        <w:trPr>
          <w:trHeight w:val="216"/>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739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may from time to time be named as a party to various legal claims, actions and complaints, including matters involving employment, intellectual property, effects from the use of therapeutics utilizing its technology, or others. It is impossible to predict with certainty whether any resulting liability would have a material adverse effect on the Company’s financial position, results of operations or cash flows. As of December 31, 2025 and 2024, the Company was not a party to any material legal proceedings with respect to itself or any of its material properties.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Semnur Merger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the Company’s equity, and for limited purposes, Sorrento Therapeutics, Inc. Pursuant to the Legacy Semnur Merger Agreement, Sigma Merger Sub merged with and into Legacy Semnur, and Legacy Semnur survived as Scilex’s wholly owned subsidiary.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new drug application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To date, none of the foregoing payments have been triggered.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Shah Assignment Agreement</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royalties payment for a given calendar quarter shall be due and payable on the date the royalty report for such quarter is due under the Shah Assignment Agreement. To date, none of the foregoing payments have been triggered.</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Shah Assignment Agreement continues in full force and effect on a country-by-country and product-by-product basis until royalties are no longer due on such product under the agreement. The Shah Assignment Agreement contains customary reciprocal indemnification obligations for Shah Investor and Semnur.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Subsidiary Guarantee to Scilex-Oramed Note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in the principal amount of $101.9 million (the “Scilex-Oramed Note”). In connection with the Scilex-Oramed SPA, Scilex and each of its subsidiaries, including Legacy Semnur,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Following the execution of the amended and restated security agreement with Oramed on October 8, 2024, and upon completion of the Business Combination, as of September 22, 2025, the Company was no longer a Guarantor under the Subsidiary Guarantee.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Promissory Notes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the Company assumed all liabilities of Denali including its existing promissory notes and its liability for its deferred underwriting costs associated with the IPO. Simultaneously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upon Closing, the agreements for these existing liabilities were terminated and new promissory notes and discharge payment agreements were signed with the holders.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Denali, Sponsor and Scilex entered into a Satisfaction and Discharge of Indebtedness Agreement, pursuant to which the Sponsor received $1.1 million in cash and a promissory note for $0.8 million (the “Sponsor Note”). Per the terms of the note, the Sponsor Note is payable in six monthly installments of $134 thousand, starting on October 1, 2025 and ending on March 1, 2026.</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Immediately prior to the Closing, Denali and FutureTech Capital LLC (“FutureTech”) entered into a Satisfaction and Discharge of Indebtedness Agreement, pursuant to which FutureTech received $340 thousand in cash and a promissory note for $1.0 million (the “FutureTech Note”). Per the terms of the note, the FutureTech Note is payable in six monthly installments of $170 thousand, starting on October 1, 2025 and ending on March 1, 2026.</w:t>
      </w:r>
    </w:p>
    <w:p>
      <w:pPr>
        <w:spacing w:after="0" w:line="158"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At Closing, Denali and the Denali underwriters entered into a Satisfaction and Discharge of Indebtedness Agreements, pursuant to which the Denali underwriters received $350 thousand in cash and promissory notes for a total of $2.7 million (the “Denali Underwriter Notes”). Per the terms of the notes, the Denali Underwriter Notes are payable in nine monthly installments of $300 thousand, starting on October 1, 2025 and ending on June 1, 2026, with the last monthly payment being $250 thousand.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the new promissory notes as a result of the Business Combination: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Existing Denali</w:t>
            </w: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New Agreements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800" w:type="dxa"/>
            <w:vAlign w:val="bottom"/>
            <w:gridSpan w:val="2"/>
            <w:vMerge w:val="restart"/>
          </w:tcPr>
          <w:p>
            <w:pPr>
              <w:ind w:left="26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3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Original Issue Date</w:t>
            </w:r>
          </w:p>
        </w:tc>
        <w:tc>
          <w:tcPr>
            <w:tcW w:w="20" w:type="dxa"/>
            <w:vAlign w:val="bottom"/>
          </w:tcPr>
          <w:p>
            <w:pPr>
              <w:spacing w:after="0"/>
              <w:rPr>
                <w:sz w:val="9"/>
                <w:szCs w:val="9"/>
                <w:color w:val="auto"/>
              </w:rPr>
            </w:pPr>
          </w:p>
        </w:tc>
        <w:tc>
          <w:tcPr>
            <w:tcW w:w="13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Discharge</w:t>
            </w:r>
          </w:p>
        </w:tc>
        <w:tc>
          <w:tcPr>
            <w:tcW w:w="0" w:type="dxa"/>
            <w:vAlign w:val="bottom"/>
          </w:tcPr>
          <w:p>
            <w:pPr>
              <w:spacing w:after="0"/>
              <w:rPr>
                <w:sz w:val="1"/>
                <w:szCs w:val="1"/>
                <w:color w:val="auto"/>
              </w:rPr>
            </w:pPr>
          </w:p>
        </w:tc>
      </w:tr>
      <w:tr>
        <w:trPr>
          <w:trHeight w:val="173"/>
        </w:trPr>
        <w:tc>
          <w:tcPr>
            <w:tcW w:w="580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 Note</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4/11/2023, 7/10/2024</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FutureTech Note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7/11/2023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1,022</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Denali Underwriter Notes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4/6/2022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2,650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promissory notes</w:t>
            </w:r>
          </w:p>
        </w:tc>
        <w:tc>
          <w:tcPr>
            <w:tcW w:w="2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4,478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Company had total current promissory notes of $3.5 million, all of which are due in less than a year.</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payment schedules in the Sponsor Note, the FutureTech Note and the Denali Underwriter Notes, the balance due on any notes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Out of the outstanding promissory notes, the Company did not make certain scheduled installment payments during the fourth quarter of 2025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Sponsor Note (monthly installments of $134 thousand) and the Denali Underwriter Note for U.S. Tiger Securities, Inc. (monthly installments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thousand). As of December 31, 2025, the Sponsor Note had an outstanding principal balance of $0.8 million and accrued interest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 thousand at 10% per annum (calculated monthly). The Company has not recorded the accrued interest as of December 31, 2025. The Company has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 received a notice of default and expects to make the payments in March 2026.</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Capital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Company was authorized to issue 785,000,000 shares, consisting of (i) 740,000,000 shares of Common Stock, and</w:t>
      </w:r>
    </w:p>
    <w:p>
      <w:pPr>
        <w:spacing w:after="0" w:line="27" w:lineRule="exact"/>
        <w:rPr>
          <w:sz w:val="20"/>
          <w:szCs w:val="20"/>
          <w:color w:val="auto"/>
        </w:rPr>
      </w:pPr>
    </w:p>
    <w:p>
      <w:pPr>
        <w:ind w:left="120" w:right="60" w:hanging="4"/>
        <w:spacing w:after="0" w:line="255" w:lineRule="auto"/>
        <w:tabs>
          <w:tab w:leader="none" w:pos="38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 shares of preferred stock, par value $0.0001 per share (“Preferred Stock”). Holders of the Common Stock are entitled to dividends if and when declared by the Company’s Board of Directors (the “Board of Directors”). The holder of each share of Common Stock is entitled to one vote. As of December 31, 2025, no dividends were declared.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Reserved</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Common Stock reserved for future issuance, on an as converted basis, totaled 67,332,122 shares and includes 7,432,122 shares to be issued upon conversion of outstanding Warrants, 50,000,000 shares to be issued upon exercise of outstanding stock options, 1,250,000 shares to be issued under the PIPE SPA, 6,250,000 shares to be issued under the Semnur/Biconomy SPA and 2,400,000 shares reserved under the 2025 Inducement Plan (as defined in Note 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the Company had 5,423,606 shares of Series A preferred stock (“Series A Preferred Stock”) issued and outstanding.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holders of Series A Preferred Stock have various rights and preferences as follows: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Rank</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Holders of Series A Preferred Stock shall not be entitled to dividends unless Semnur pays dividends to holders of Common Stock and shall be entitled to receive, when, as and if declared by the Board of Directors,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change of control, liquidation, dissolution or winding-up of Semnur, whether voluntary or involuntary, before any payment or distribution of Semnur’s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and Redemption Rights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and Other Preferred Rights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183"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w:t>
      </w:r>
    </w:p>
    <w:p>
      <w:pPr>
        <w:spacing w:after="0" w:line="3" w:lineRule="exact"/>
        <w:rPr>
          <w:sz w:val="20"/>
          <w:szCs w:val="20"/>
          <w:color w:val="auto"/>
        </w:rPr>
      </w:pPr>
    </w:p>
    <w:p>
      <w:pPr>
        <w:ind w:left="360" w:hanging="244"/>
        <w:spacing w:after="0"/>
        <w:tabs>
          <w:tab w:leader="none" w:pos="3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certificate of incorporation or the Certificate of Designations in any manner that adversely affects the holders of Series A Preferred Stock.</w:t>
      </w:r>
    </w:p>
    <w:p>
      <w:pPr>
        <w:spacing w:after="0" w:line="13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Agreements with Stock Remuneration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Consulting Services Agreement with 450W42ND MIMA, LLC</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August 25, 2024, Legacy Semnur entered into a consulting services agreement with 450W42ND MIMA, LLC who agreed to perform certain consulting and advisory services related to Legacy Semnur’s business, financing, and mergers and acquisitions opportunities for a period of 12 months from the date of the agreement, for Common Stock.</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July 22, 2025, Legacy Semnur entered into an amendment to the foregoing consulting services agreement, pursuant to which Legacy Semnur instead agreed to issue 3,200,000 shares of Legacy Semnur common stock, subject to the satisfaction of the terms and conditions contained in the consulting services agreement, as amended.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September 2025, the consulting agreement with 450W42ND MIMA, LLC was terminated and no shares were issued.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Consulting Services Agreement with Wise Orient Investments Limited</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August 26, 2024, Legacy Semnur entered into a consulting services agreement with Wise Orient Investments Limited (“Wise Orient”) who agreed to perform certain consulting and advisory services related to Legacy Semnur’s business, financing, and mergers and acquisitions opportunities for a period of 12 months from the date of the agreement, for Common Stock.</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July 22, 2025, Legacy Semnur entered into an amendment to the foregoing consulting services agreement, pursuant to which Legacy Semnur agreed to instead issue 3,200,000 shares of Legacy Semnur common stock, subject to the satisfaction of the terms and conditions contained in the consulting services agreement, as amended.</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Closing, 4,000,000 shares (i.e., the then-existing 3,200,000 shares of Legacy Semnur common stock multiplied by the Exchange ratio) of Common Stock were issued to Wise Orient and the associated expense was recognized as G&amp;A expense on the consolidated statement of operations and comprehensive loss for the year ended December 31,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Consulting Services Agreement with JW Investment Management Company Limited</w:t>
      </w:r>
    </w:p>
    <w:p>
      <w:pPr>
        <w:spacing w:after="0" w:line="11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On June 12, 2025, Legacy Semnur entered into an advisory services agreement with JW Investment Management Company Limited (“JW”), pursuant to which JW agreed to perform certain consulting and advisory services related to Legacy Semnur’s business, financing, and mergers and acquisitions opportunities for a period of 12 months from the date of the agreement.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exchange for the services provided and subject to the terms and conditions contained in the consulting services agreement, Legacy Semnur agreed to issue JW 10,000,000 shares of Common Stock following the consummation of the Business Combination, as well as a cash financing service fee of 7% of the received investment funds should JW successfully facilitate the signing of a PIPE contract on the Company’s behalf.</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July 22, 2025, Legacy Semnur entered into an amendment to the foregoing consulting services agreement, pursuant to which Legacy Semnur agreed to amend the share compensation and instead issue to JW 8,000,000 shares of Legacy Semnur common stock, subject to the satisfaction of the terms and conditions contained in the consulting services agreement, as amended.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Upon Closing, 10,000,000 shares (i.e., the then-existing 8,000,000 shares of Legacy common stock multiplied by the Exchange ratio) of Common Stock were issued to JW and the associated expense was recognized as G&amp;A expense on the consolidated statement of operations and comprehensive loss for the year ended December 31, 2025.</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August 20, 2025, the Company entered into the PIPE SPA. As of December 31, 2025, the PIPE transaction has not closed and therefore the cash financing service fee of 7% is not a current obligation.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Retainer Shares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July 22, 2025, Legacy Semnur entered into a stock issuance agreement with the law firm named therein pursuant to which the law firm was issued 10,000,000 shares of Legacy Semnur common stock as a retainer for legal services and payment for prior services. Upon Closing, the shares were exchanged for 12,500,000 shares (i.e., the then-existing 10,000,000 shares of Legacy common stock multiplied by the Exchange ratio) of Common Stock.</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All such shares are held by the law firm as collateral for current and future outstanding legal fees due from the Company. At the option of the law firm, the retainer shares may be sold and the net proceeds may be applied against the outstanding legal fees. The retainer shares not applied against the outstanding legal fees due will be returned to the Company. As of December 31, 2025, it was not probable that any of the retainer shares would be applied against any outstanding legal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Sponsor Support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Sponsor and each of the Company’s directors and executive officers entered into a sponsor support agreement with the Company and Semnur (the “Sponsor Support Agreement”), pursuant to which the Sponsor and each of Company’s directors and executive officers has agreed to, among other things: (i) vote in favor of the Parent Shareholder Approval Matters (as defined in the Merger Agreement) and in favor of any proposal in respect of an Extension Amendment (as such terms are defined in the Merger Agreement); (ii) vote against (or otherwise withhold written consent of, as applicable) any “Business Combination” (as such term is defined in Denali’s organizational documents) or any proposal relating thereto (in each case, other than as contemplated by the Merger Agreement); (iii) vote against (or otherwise withhold written consent of, as applicable) any merger agreement or merger, consolidation, combination, sale of substantial assets, reorganization, recapitalization, dissolution, liquidation or winding up of or by the Company (other than the Merger Agreement and the transactions contemplated thereby); (iv) vote against (or otherwise withhold written consent of, as applicable) any change in the business, management or Board of Directors (other than in connection with the Merger Agreement and the transactions contemplated thereby); and (v) vote against (or otherwise withhold written consent of, as applicable) any proposal, action or agreement that would (a) impede, frustrate, prevent or nullify any provision of the Sponsor Support Agreement or the Merger Agreement or any of the transactions contemplated thereby, (b) result in a breach in any respect of any covenant, representation, warranty or any other obligation or agreement of Denali or Merger Sub under the Merger Agreement, (c) result in any of the conditions set forth in Article VIII of the Merger Agreement not being fulfilled or (d) change in any manner the dividend policy or capitalization of, including the voting rights of any class of capital stock of, the Company. Under the terms of the Sponsor Support Agreement, the Sponsor also agreed to certain standstill provisions with respect to the ordinary shares and other equity securities of the Company held by the Sponsor.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Support Agreement</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Concurrently with the execution of the Merger Agreement, Legacy Semnur, Semnur and Scilex (as the then sole stockholder of Semnur) entered into a company stockholder support agreement (the “Stockholder Support Agreement”), pursuant to which Scilex agreed to, among other things:</w:t>
      </w:r>
    </w:p>
    <w:p>
      <w:pPr>
        <w:spacing w:after="0" w:line="1" w:lineRule="exact"/>
        <w:rPr>
          <w:sz w:val="20"/>
          <w:szCs w:val="20"/>
          <w:color w:val="auto"/>
        </w:rPr>
      </w:pPr>
    </w:p>
    <w:p>
      <w:pPr>
        <w:ind w:left="120" w:right="120" w:hanging="4"/>
        <w:spacing w:after="0" w:line="251" w:lineRule="auto"/>
        <w:tabs>
          <w:tab w:leader="none" w:pos="3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at any meeting of Semnur’s stockholders related to the transactions contemplated by the Merger Agreement, or otherwise cause its shares of Semnur common stock to be counted as present thereat for the purpose of establishing a quorum; (ii) vote (or execute and return an action by written consent), or cause to be voted at any such meeting of Semnur’s stockholders (or validly execute and return and cause such consent to be granted with respect to), all of its shares of Semnur common stock in favor of the Merger Agreement and the Business Combination; (iii) authorize and approve any amendment to Semnur’s certificate of incorporation or bylaws that is deemed necessary or advisable by Semnur for purposes of effecting the Business Combination; and (iv) vote (or execute and return an action by written consent), or cause to be voted at any such meeting of Semnur’s stockholders (or validly execute and return and cause such consent to be granted with respect to), all of its shares of Semnur common stock against any other action that would reasonably be expected to (a) impede, interfere with, frustrate, delay, postpone or adversely affect the Business Combination, (b) result in a breach of any covenant, representation or warranty or other obligation or agreement of Semnur under the Merger Agreement or (c) result in a breach of any covenant, representation or warranty or other obligation or agreement of Scilex contained in the Stockholder Support Agreement.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Scilex Stockholder Agreement</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Company entered into a Stockholder Agreement with Scilex (the “Scilex Stockholder Agreement”). Pursuant to the Scilex Stockholder Agreement, from and after the effective time of the Business Combination, and for so long as Scilex beneficially owns any preferred stock, among other things, (i) Scilex shall have the right, but not the obligation, to designate each director to be nominated, elected or appointed to the Board of Directors (each, a “Stockholder Designee” and collectively, the “Stockholder Designees”), regardless of (i) whether such Stockholder Designee is to be elected to the Board of Directors at a meeting of stockholders called for the purpose of electing directors (or by consent in lieu of meeting) or appointed by the Board of Directors in order to fill any vacancy created by the departure of any director or increase in the authorized number of members of the Board of Directors, or (ii) the size of the Board of Directors, and the Company will be required to take all actions reasonably necessary, and not otherwise prohibited by applicable law, to cause each Stockholder Designee to be so nominated, elected or appointed to the Board of Directors as more fully described in the Scilex Stockholder Agreement. Scilex shall also have the right to designate a replacement director for any Stockholder Designee that has been removed from the Board of Directors and the right to appoint a representative of Scilex to attend all meetings of the committees of the Board of Directors. The Scilex Stockholder Agreement also provides that the Company will be prohibited from taking certain actions without the consent of Scilex. Such actions include, among other things, amendments to the Certificate of Designations, increases or decreases in the size of the Board of Directors, the incurrence of certain amounts of indebtedness and the payment of dividends on common stock. In addition, the Scilex Stockholder Agreement provides that the Company will be prohibited from taking certain actions without the consent of Oramed (but only until the date on which all payments under the Scilex-Oramed Note and all other obligations under the Scilex-Oramed Note have been paid in full in cash). The actions that require Oramed’s consent include, among other things, (i) amending certain agreements, including the Scilex Stockholder Agreement, the Merger Agreement, the Company’s certificate of incorporation or bylaws, the 2024 Plan (as defined in Note 7), the Stockholder Support Agreement and the Debt Exchange Agreement (as defined in Note 8), in each case that adversely affect the rights of capital stock held by Scilex in the Company (ii) approval of the issuance of capital stock of the Company that would result in Scilex holding less than 55% of the outstanding shares or voting power</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in the Company, (iii) forming any subsidiary that is not wholly owned and controlled by the Company, (iv) permitting any option grants to Scilex Insiders (as defined therein) pursuant to the 2024 Plan prior to the execution of the Merger Agreement to be exercisable and (v) permitting certain compensation payments to Scilex Insiders (as defined therein).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Prior to the Business Combination, the Company did not have any employees who were directly employed by the Company nor did it have its own stock-based compensation plans other than the Semnur Pharmaceuticals, Inc. 2024 Stock Option Plan (the “2024 Plan”) as described below. However, certain shared employees of Scilex support the Company and also participate in Scilex’s stock-based compensation plans that provide for the granting of stock options, non-qualified stock options (“NSOs”), stock appreciation rights, restricted stock, restricted stock units, and other awards. Such shared employees’ time and efforts are partially spent on activities attributable to the Company and partially spent on activities attributable to Scilex; Scilex did not have any employees whose activities are solely dedicated or solely attributable to the Company during the years ended December 31,</w:t>
      </w:r>
    </w:p>
    <w:p>
      <w:pPr>
        <w:spacing w:after="0" w:line="5" w:lineRule="exact"/>
        <w:rPr>
          <w:sz w:val="20"/>
          <w:szCs w:val="20"/>
          <w:color w:val="auto"/>
        </w:rPr>
      </w:pPr>
    </w:p>
    <w:p>
      <w:pPr>
        <w:ind w:left="120" w:right="180"/>
        <w:spacing w:after="0" w:line="255" w:lineRule="auto"/>
        <w:rPr>
          <w:sz w:val="20"/>
          <w:szCs w:val="20"/>
          <w:color w:val="auto"/>
        </w:rPr>
      </w:pPr>
      <w:r>
        <w:rPr>
          <w:rFonts w:ascii="Times New Roman" w:cs="Times New Roman" w:eastAsia="Times New Roman" w:hAnsi="Times New Roman"/>
          <w:sz w:val="18"/>
          <w:szCs w:val="18"/>
          <w:color w:val="auto"/>
        </w:rPr>
        <w:t>2025 and 2024. Total stock-based compensation recognized consists of an allocation of such shared employees’ stock-based compensation expense on the same basis as their salaries and benefits and expense for grants made to Wise Orient and JW (see Note 6 “</w:t>
      </w:r>
      <w:r>
        <w:rPr>
          <w:rFonts w:ascii="Times New Roman" w:cs="Times New Roman" w:eastAsia="Times New Roman" w:hAnsi="Times New Roman"/>
          <w:sz w:val="18"/>
          <w:szCs w:val="18"/>
          <w:i w:val="1"/>
          <w:iCs w:val="1"/>
          <w:color w:val="auto"/>
        </w:rPr>
        <w:t>Capital Structure — Consulting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with Stock Remuneration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Scilex calculates the fair value of stock options granted to employees and nonemployees and employee stock purchase plan (“ESPP”) using the Black-Scholes option pricing method. The Black-Scholes option pricing method requires the use of subjective assumptions.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by Scilex in the Black-Scholes option pricing model to estimate stock-based compensation on the date of grant for stock options granted and ESPP shares issued for the years ended December 31, 2025 and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31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18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Stock options:</w:t>
            </w: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72.5% - 99.1%</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72.0% - 119.1%</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 - 4.2%</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 - 4.7%</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of options (in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3.0 - 6.3</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112.9%</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tcPr>
          <w:p>
            <w:pPr>
              <w:spacing w:after="0"/>
              <w:rPr>
                <w:sz w:val="18"/>
                <w:szCs w:val="18"/>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4.3%</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r>
      <w:tr>
        <w:trPr>
          <w:trHeight w:val="234"/>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life (in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stock-based compensation expense recorded in the statements of operations was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110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 xml:space="preserve">2025    </w:t>
            </w:r>
          </w:p>
        </w:tc>
        <w:tc>
          <w:tcPr>
            <w:tcW w:w="18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142,230</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142,435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560" w:type="dxa"/>
            <w:vAlign w:val="bottom"/>
            <w:gridSpan w:val="2"/>
          </w:tcPr>
          <w:p>
            <w:pPr>
              <w:jc w:val="right"/>
              <w:ind w:right="1776"/>
              <w:spacing w:after="0"/>
              <w:rPr>
                <w:sz w:val="20"/>
                <w:szCs w:val="20"/>
                <w:color w:val="auto"/>
              </w:rPr>
            </w:pPr>
            <w:r>
              <w:rPr>
                <w:rFonts w:ascii="Times New Roman" w:cs="Times New Roman" w:eastAsia="Times New Roman" w:hAnsi="Times New Roman"/>
                <w:sz w:val="18"/>
                <w:szCs w:val="18"/>
                <w:color w:val="auto"/>
              </w:rPr>
              <w:t>F-27</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approximately $7.0 million of total unrecognized stock-based compensation expense, which is expected to be recognized over an estimated weighted-average vesting term of 3.1 years. This amount is subject to change based on the actual amount of time certain Scilex employees will spend providing services attributable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2024 Plan</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30, 2024, the Company adopted the 2024 Plan, under which 40,000,000 shares of Common Stock were reserved for future issuance. On the same day, NSOs to purchase an aggregate of 40,000,000 shares of the Legacy Semnur common stock were granted to members of the Company’s executive team and certain Scilex employees who provide services to Semnur. The NSOs granted have an exercise price of $1.58 per share, a term of 10 years (unless earlier terminated in accordance with the terms of the option agreement) and vest 1/48th on a monthly basis over a period of four years from the vesting commencement date as set forth in the applicable option agreement (subject to the holder’s continuous service with the Company). Upon closing, the NSO’s were exchanged for 50,000,000 NSOs (i.e., the then-existing NSOs multiplied by the Exchange ratio) in Common Stock and the exercise price was adjusted to $1.26 per share (i.e., the then-existing exercise price divided by the Exchange ratio).</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NSOs are not exercisable until all payments and all obligations under the Scilex-Oramed Note have been paid in full). These NSOs are not considered to be granted under accounting rules as repayment of the Scilex-Oramed Note has not occurred as of December 31, 2025. As such, once the NSOs are considered granted, the total amount of stock-based compensation expense attributable to these NSOs would be determined based on their accounting grant-date fair value and to be recognized, on a tranche-by-tranche basis, over forty-eight equal monthly tranches. No expense was recorded in connection with the NSOs granted under the 2024 Plan as of December 31, 2025, as the vesting is contingent upon the repayment of the Scilex-Oramed Note.</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the 50,000,000 NSO’s have an intrinsic value of $686.8 million and a remaining contractual term of 8.7 years. As of December 31, 2025, no shares remained available for issuance under the 2024 Plan.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Plans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On November 17, 2025, the Board of Directors adopted the 2025 Equity Incentive Plan (the “2025 Plan”), the 2025 Employee Stock Purchase Plan (the “2025 ESPP”) and the 2025 Inducement Plan (the “2025 Inducement Plan”). The 2025 Plan and the 2025 ESPP are subject to stockholder approval and are not effective until such approval. The 2025 Inducement Plan does not require stockholder approval and is therefore effective upon adoption by the Board of Directors.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2025 Plan provides for the grant of equity-based awards including incentive stock options, nonstatutory stock options, restricted stock awards, restricted stock units, stock appreciation rights, performance awards, and other equity-based awards. The 2025 Plan initially reserves 45,948,195 shares of Common Stock for issuance. The share reserve is subject to an annual automatic increase beginning January 1, 2027 through January 1, 2036, equal to the lesser of (i) 5% of the Company’s outstanding Common Stock as of the preceding December 31, (ii) 22,974,097 shares, or (iii) such lesser number as determined by the Board of Directors. The maximum number of shares issuable pursuant to incentive stock options under the 2025 Plan is 137,844,585 shares. Upon effectiveness of the 2025 Plan, no further grants will be made under the 2024 Plan; however, shares subject to awards granted under the 2024 Plan will continue to be governed by the 2024 Plan.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2025 ESPP permits eligible employees to purchase shares of Common Stock through payroll deductions at a purchase price generally equal to 85% of the fair market value of Common Stock on the applicable offering or purchase date, as specified in the plan. The 2025 ESPP initially reserves 2,297,409 shares of Common Stock for issuance, subject to an annual automatic increase beginning January 1, 2027 through January 1, 2036 equal to the lesser of (i) 1% of outstanding Common Stock as of the preceding December 31, (ii) 2,871,761 shares, or (iii) such lesser number as determined by the Board of Directors.</w:t>
      </w:r>
    </w:p>
    <w:p>
      <w:pPr>
        <w:spacing w:after="0" w:line="183"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2025 Inducement Plan provides equity awards to newly hired employees as a material inducement to employment. The Inducement Plan provides for the grant of nonstatutory stock options, restricted stock awards, restricted stock units, and other equity-based awards. A total of 2,400,000 shares of Common Stock is reserved for issuance under the 2025 Inducement Plan. Awards under the 2025 Inducement Plan are approved by the Compensation Committee of the Board of Directors or a majority of the Company’s independent directors and do not require stockholder approval.</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Related Parties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Transactions entered into between the Company and Scilex are considered related party transactions. These transactions have been reflected as related party loans, a long-term liability, on the consolidated balance sheets. These amounts do not carry interest, and are not expected to be settled through transfer of cash or other assets by the Company.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loans received from Scilex were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17"/>
        </w:trPr>
        <w:tc>
          <w:tcPr>
            <w:tcW w:w="5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10"/>
                <w:szCs w:val="10"/>
                <w:color w:val="auto"/>
              </w:rPr>
            </w:pPr>
          </w:p>
        </w:tc>
      </w:tr>
      <w:tr>
        <w:trPr>
          <w:trHeight w:val="173"/>
        </w:trPr>
        <w:tc>
          <w:tcPr>
            <w:tcW w:w="5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2025    </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Scilex Holding Company — stock-based compensation</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0" w:type="dxa"/>
            <w:vAlign w:val="bottom"/>
            <w:tcBorders>
              <w:top w:val="single" w:sz="8" w:color="CCEEFF"/>
            </w:tcBorders>
            <w:shd w:val="clear" w:color="auto" w:fill="CCEEFF"/>
          </w:tcPr>
          <w:p>
            <w:pPr>
              <w:spacing w:after="0"/>
              <w:rPr>
                <w:sz w:val="18"/>
                <w:szCs w:val="18"/>
                <w:color w:val="auto"/>
              </w:rPr>
            </w:pPr>
          </w:p>
        </w:tc>
      </w:tr>
      <w:tr>
        <w:trPr>
          <w:trHeight w:val="198"/>
        </w:trPr>
        <w:tc>
          <w:tcPr>
            <w:tcW w:w="5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Loans to Scilex Holding Company — expenses paid by Scilex Holding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on behalf of the Company</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40" w:type="dxa"/>
            <w:vAlign w:val="bottom"/>
          </w:tcPr>
          <w:p>
            <w:pPr>
              <w:spacing w:after="0"/>
              <w:rPr>
                <w:sz w:val="20"/>
                <w:szCs w:val="20"/>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 from Scilex Holding Company</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11,532</w:t>
            </w:r>
          </w:p>
        </w:tc>
      </w:tr>
      <w:tr>
        <w:trPr>
          <w:trHeight w:val="20"/>
        </w:trPr>
        <w:tc>
          <w:tcPr>
            <w:tcW w:w="5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Exchange Agreement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August 30, 2024, the Company and Scilex entered into the Contribution and Satisfaction of Indebtedness Agreement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w:t>
      </w:r>
    </w:p>
    <w:p>
      <w:pPr>
        <w:spacing w:after="0" w:line="180"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At Closing, the Outstanding Indebtedness between the Company and Scilex totaling $54.2 million was converted into 5,423,606 shares of Series A Preferred Stock and 542,361 shares of Common Stock. The Outstanding Indebtedness is considered to be extinguished in its entirety and shall be of no further force or effect and shall be deemed paid and satisfied in full and irrevocably and automatically discharged, terminated and released.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22, 2025, in connection with the Closing, the Company entered into the Transition Services Agreement (the “Transition Services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with Scilex, pursuant to which the Company can utilize certain employees and other service providers of Scilex to operate the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with respect to the following business functions: finance, human resources, information systems, legal and administrative, R&amp;D support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commercialization support. Transition services provided by Scilex will be on a cost plus 10% basis, provided that the service fees will not exceed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 million per annum until all payments under the Scilex-Oramed Note have been paid in full in cash, and the Company will reimburse Scilex for its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 of pocket fees, costs or expenses. During the transition period, the Company plans to engage and increase full time employees to support research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development, general administrative, manufacturing, regulatory and commercial functions as the Company enters the final stage of development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pre-launch commercialization planning. The term of the Transition Services Agreement is three years following the execution of such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the Company believes is sufficient time to develop commercial infrastructure and other business functions.</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$0.3 million of service fees accrued under the Transition Services Agreement which is included in related party loan on the consolidated balance sheet.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U.S. federal and state tax reporting purposes, the Company is a member of Scilex’s consolidated reporting group. The basis of presentation for these financial statements is on a separate standalone basis as if the Company were not a member of a consolidated group and was operating as an independent entity. Settlements of tax balances that differ from the separate entity computations are treated as either increases or decreases in equity. There were no settlements of tax balances between the entity and the Scilex during the periods presented. Total loss before income taxes for the years ended December 31, 2025 and 2024 did not include a foreign component. There was no income tax expense for the years ended December 31, 2025 and 2024.</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reconciliation between U.S. federal income taxes at the statutory rate and the Company’s provision for income taxes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4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5"/>
                <w:szCs w:val="15"/>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4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3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4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30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3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61"/>
        </w:trPr>
        <w:tc>
          <w:tcPr>
            <w:tcW w:w="31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40" w:type="dxa"/>
            <w:vAlign w:val="bottom"/>
            <w:tcBorders>
              <w:bottom w:val="single" w:sz="8" w:color="CCEEFF"/>
            </w:tcBorders>
          </w:tcPr>
          <w:p>
            <w:pPr>
              <w:spacing w:after="0"/>
              <w:rPr>
                <w:sz w:val="15"/>
                <w:szCs w:val="15"/>
                <w:color w:val="auto"/>
              </w:rPr>
            </w:pPr>
          </w:p>
        </w:tc>
        <w:tc>
          <w:tcPr>
            <w:tcW w:w="33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r>
      <w:tr>
        <w:trPr>
          <w:trHeight w:val="21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4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30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4340" w:type="dxa"/>
            <w:vAlign w:val="bottom"/>
            <w:gridSpan w:val="3"/>
          </w:tcPr>
          <w:p>
            <w:pPr>
              <w:jc w:val="right"/>
              <w:ind w:right="3470"/>
              <w:spacing w:after="0"/>
              <w:rPr>
                <w:sz w:val="20"/>
                <w:szCs w:val="20"/>
                <w:color w:val="auto"/>
              </w:rPr>
            </w:pPr>
            <w:r>
              <w:rPr>
                <w:rFonts w:ascii="Times New Roman" w:cs="Times New Roman" w:eastAsia="Times New Roman" w:hAnsi="Times New Roman"/>
                <w:sz w:val="18"/>
                <w:szCs w:val="18"/>
                <w:color w:val="auto"/>
              </w:rPr>
              <w:t>F-30</w:t>
            </w:r>
          </w:p>
        </w:tc>
      </w:tr>
    </w:tbl>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files its tax returns on a consolidated or combined basis with Scilex. For purposes of its financial statements, the Company has calculated its income tax amounts, including net operating losses and credit carryforwards, using a separate return methodology and has presented these amounts as if it were a separate taxpayer from Scilex in each jurisdiction for each period the Company has presented. The Company has not determined the amount of tax attributes, including net operating losses and tax credit carryovers, which it would retain if it were to deconsolidate for tax purposes from Scilex. An analysis will be performed at a future date, if necessary.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components of the Company’s net deferred tax assets and related valuation allowance are as follows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38,350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14,517</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General business and other credit carryforwards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17,363</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(41,421)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(17,363)</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gross deferred tax assets, including the amount and timing of future taxable income, and has determined that it is more likely than not that the deferred tax assets will not be realized. Due to such uncertainties surrounding the realization of the deferred tax assets, the Company maintains a full valuation allowance against its deferred tax assets as of December 31, 2025 and 2024. Realization of the deferred tax assets will be primarily dependent upon the Company’s ability to generate sufficient taxable income prior to the expiration of its net operating losses. The valuation allowance increased by $24.1 million during the year ended December 31, 2025, primarily due to an increase in the deferred tax asset on net operating losses. The valuation allowance increased by $0.8 million during the year ended December 31, 2024, primarily due to primarily due to an increase in the deferred tax asset on net operating losses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$166.2 million of U.S. federal net operating loss carryforwards, of which $10.2 million will begin to expire in 2033 for federal tax purposes and $156.0 million can be carried forward indefinitely. While these federal NOLs do not expire, the Tax Cuts &amp; Jobs Act of 2017 limits the amount of federal net operating loss utilized each year after December 31, 2017, to 80% of taxable income. As of December 31, 2025, the Company had $58.0 million of state net operating loss carryforwards that will begin to expire in 2033.</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40"/>
          </w:cols>
          <w:pgMar w:left="320" w:top="455" w:right="5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research and development income tax credits of $1.2 million which will begin to expire in 2033. As of December 31, 2025, the Company had California research and development income tax credits of $0.6 million that have indefinite life and will not expire.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Internal Revenue Code Section 382 (“Section 382”) rules apply to limit a corporation’s ability to utilize existing net operating loss and tax credit carryforwards once the corporation experiences an ownership change as defined in Section 382. For the years ended December 31, 2025 and 2024, a formal Section 382 analysis and computation have not been performed. Additionally, since there is a taxable loss in both years, the absence of the Section 382 limitation analysis does not have an impact for the periods presented and there was no impact of such limitations on the Company’s income tax provisions.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U.S. federal and state tax jurisdictions. All of the Company’s tax years will remain open for three years for examination by the federal and state tax authorities from the date of utilizations of net operating loss. There are no active tax compliance audits as of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Uncertain Income Tax Positions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46"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7620</wp:posOffset>
            </wp:positionV>
            <wp:extent cx="7626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ind w:left="860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tbl>
      <w:tblPr>
        <w:tblLayout w:type="fixed"/>
        <w:tblInd w:w="1440" w:type="dxa"/>
        <w:tblCellMar>
          <w:top w:w="0" w:type="dxa"/>
          <w:left w:w="0" w:type="dxa"/>
          <w:bottom w:w="0" w:type="dxa"/>
          <w:right w:w="0" w:type="dxa"/>
        </w:tblCellMar>
      </w:tblP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354</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354</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354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354</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$0.4 million in total unrecognized tax benefits, which have been reflected as a reduction in deferred tax assets. If these were to be recognized, they would affect the effective tax rate, however given the full valuation allowance in the jurisdiction in which the unrecognized tax benefits relate to, the impact on the effective tax rate would be nil.</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No interest or penalties have been recognized as of and for the years ended December 31, 2025 and 2024.</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no material amount of the liabilities for uncertain tax positions are expected to reverse within 12 months of December 31, 2025.</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80"/>
          </w:cols>
          <w:pgMar w:left="320" w:top="455"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SEMNUR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(in thousands, except share and per share amounts):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(160,416)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3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18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w w:val="97"/>
              </w:rPr>
              <w:t>204,784,615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200,000,000</w:t>
            </w:r>
          </w:p>
        </w:tc>
      </w:tr>
      <w:tr>
        <w:trPr>
          <w:trHeight w:val="27"/>
        </w:trPr>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94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warrants</w:t>
            </w:r>
          </w:p>
        </w:tc>
        <w:tc>
          <w:tcPr>
            <w:tcW w:w="33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7,432,122</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shares</w:t>
            </w:r>
          </w:p>
        </w:tc>
        <w:tc>
          <w:tcPr>
            <w:tcW w:w="33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12,500,000</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69,932,122</w:t>
            </w: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3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F-33</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lowerLetter"/>
      <w:start w:val="1"/>
    </w:lvl>
    <w:lvl w:ilvl="1">
      <w:lvlJc w:val="left"/>
      <w:lvlText w:val="(%2)"/>
      <w:numFmt w:val="lowerRoman"/>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650"/>
    </w:lvl>
  </w:abstractNum>
  <w:abstractNum w:abstractNumId="17">
    <w:nsid w:val="6B94764"/>
    <w:multiLevelType w:val="hybridMultilevel"/>
    <w:lvl w:ilvl="0">
      <w:lvlJc w:val="left"/>
      <w:lvlText w:val="(%1)"/>
      <w:numFmt w:val="decimal"/>
      <w:start w:val="1"/>
    </w:lvl>
    <w:lvl w:ilvl="1">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1)"/>
      <w:numFmt w:val="decimal"/>
      <w:start w:val="4"/>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emdash "/>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1)"/>
      <w:numFmt w:val="lowerRoman"/>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1)"/>
      <w:numFmt w:val="lowerRoman"/>
      <w:start w:val="2"/>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1)"/>
      <w:numFmt w:val="lowerRoman"/>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1)"/>
      <w:numFmt w:val="decimal"/>
      <w:start w:val="1"/>
    </w:lvl>
  </w:abstractNum>
  <w:abstractNum w:abstractNumId="79">
    <w:nsid w:val="555C55B5"/>
    <w:multiLevelType w:val="hybridMultilevel"/>
    <w:lvl w:ilvl="0">
      <w:lvlJc w:val="left"/>
      <w:lvlText w:val="(%1)"/>
      <w:numFmt w:val="decimal"/>
      <w:start w:val="1"/>
    </w:lvl>
  </w:abstractNum>
  <w:abstractNum w:abstractNumId="80">
    <w:nsid w:val="3FA62ACA"/>
    <w:multiLevelType w:val="hybridMultilevel"/>
    <w:lvl w:ilvl="0">
      <w:lvlJc w:val="left"/>
      <w:lvlText w:val="(%1)"/>
      <w:numFmt w:val="decimal"/>
      <w:start w:val="2"/>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decimal"/>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1)"/>
      <w:numFmt w:val="decimal"/>
      <w:start w:val="2"/>
    </w:lvl>
  </w:abstractNum>
  <w:abstractNum w:abstractNumId="88">
    <w:nsid w:val="1D545C4D"/>
    <w:multiLevelType w:val="hybridMultilevel"/>
    <w:lvl w:ilvl="0">
      <w:lvlJc w:val="left"/>
      <w:lvlText w:val="(%1)"/>
      <w:numFmt w:val="decimal"/>
      <w:start w:val="1"/>
    </w:lvl>
    <w:lvl w:ilvl="1">
      <w:lvlJc w:val="left"/>
      <w:lvlText w:val="(%2)"/>
      <w:numFmt w:val="lowerRoman"/>
      <w:start w:val="3"/>
    </w:lvl>
  </w:abstractNum>
  <w:abstractNum w:abstractNumId="89">
    <w:nsid w:val="59ADEA3D"/>
    <w:multiLevelType w:val="hybridMultilevel"/>
    <w:lvl w:ilvl="0">
      <w:lvlJc w:val="left"/>
      <w:lvlText w:val="(%1)"/>
      <w:numFmt w:val="decimal"/>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decimal"/>
      <w:start w:val="1"/>
    </w:lvl>
  </w:abstractNum>
  <w:abstractNum w:abstractNumId="92">
    <w:nsid w:val="1D9F6E5F"/>
    <w:multiLevelType w:val="hybridMultilevel"/>
    <w:lvl w:ilvl="0">
      <w:lvlJc w:val="left"/>
      <w:lvlText w:val="•"/>
      <w:numFmt w:val="bullet"/>
      <w:start w:val="1"/>
    </w:lvl>
  </w:abstractNum>
  <w:abstractNum w:abstractNumId="93">
    <w:nsid w:val="97E1B4E"/>
    <w:multiLevelType w:val="hybridMultilevel"/>
    <w:lvl w:ilvl="0">
      <w:lvlJc w:val="left"/>
      <w:lvlText w:val="•"/>
      <w:numFmt w:val="bullet"/>
      <w:start w:val="1"/>
    </w:lvl>
  </w:abstractNum>
  <w:abstractNum w:abstractNumId="94">
    <w:nsid w:val="51088277"/>
    <w:multiLevelType w:val="hybridMultilevel"/>
    <w:lvl w:ilvl="0">
      <w:lvlJc w:val="left"/>
      <w:lvlText w:val="•"/>
      <w:numFmt w:val="bullet"/>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
      <w:numFmt w:val="bullet"/>
      <w:start w:val="1"/>
    </w:lvl>
  </w:abstractNum>
  <w:abstractNum w:abstractNumId="98">
    <w:nsid w:val="7C58FD05"/>
    <w:multiLevelType w:val="hybridMultilevel"/>
    <w:lvl w:ilvl="0">
      <w:lvlJc w:val="left"/>
      <w:lvlText w:val="•"/>
      <w:numFmt w:val="bullet"/>
      <w:start w:val="1"/>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
      <w:numFmt w:val="bullet"/>
      <w:start w:val="1"/>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3"/>
    </w:lvl>
  </w:abstractNum>
  <w:abstractNum w:abstractNumId="103">
    <w:nsid w:val="3C5991AA"/>
    <w:multiLevelType w:val="hybridMultilevel"/>
    <w:lvl w:ilvl="0">
      <w:lvlJc w:val="left"/>
      <w:lvlText w:val="%1."/>
      <w:numFmt w:val="decimal"/>
      <w:start w:val="1"/>
    </w:lvl>
  </w:abstractNum>
  <w:abstractNum w:abstractNumId="104">
    <w:nsid w:val="4BD8591A"/>
    <w:multiLevelType w:val="hybridMultilevel"/>
    <w:lvl w:ilvl="0">
      <w:lvlJc w:val="left"/>
      <w:lvlText w:val="*"/>
      <w:numFmt w:val="bullet"/>
      <w:start w:val="1"/>
    </w:lvl>
  </w:abstractNum>
  <w:abstractNum w:abstractNumId="105">
    <w:nsid w:val="78DF6A55"/>
    <w:multiLevelType w:val="hybridMultilevel"/>
    <w:lvl w:ilvl="0">
      <w:lvlJc w:val="left"/>
      <w:lvlText w:val="(%1)"/>
      <w:numFmt w:val="decimal"/>
      <w:start w:val="1"/>
    </w:lvl>
  </w:abstractNum>
  <w:abstractNum w:abstractNumId="106">
    <w:nsid w:val="39B7AAA2"/>
    <w:multiLevelType w:val="hybridMultilevel"/>
    <w:lvl w:ilvl="0">
      <w:lvlJc w:val="left"/>
      <w:lvlText w:val="(%1)"/>
      <w:numFmt w:val="lowerLetter"/>
      <w:start w:val="1"/>
    </w:lvl>
  </w:abstractNum>
  <w:abstractNum w:abstractNumId="107">
    <w:nsid w:val="2B0D8DBE"/>
    <w:multiLevelType w:val="hybridMultilevel"/>
    <w:lvl w:ilvl="0">
      <w:lvlJc w:val="left"/>
      <w:lvlText w:val="•"/>
      <w:numFmt w:val="bullet"/>
      <w:start w:val="1"/>
    </w:lvl>
  </w:abstractNum>
  <w:abstractNum w:abstractNumId="108">
    <w:nsid w:val="6C80EC70"/>
    <w:multiLevelType w:val="hybridMultilevel"/>
    <w:lvl w:ilvl="0">
      <w:lvlJc w:val="left"/>
      <w:lvlText w:val="•"/>
      <w:numFmt w:val="bullet"/>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1)"/>
      <w:numFmt w:val="lowerLetter"/>
      <w:start w:val="25"/>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1)"/>
      <w:numFmt w:val="upperLetter"/>
      <w:start w:val="4"/>
    </w:lvl>
  </w:abstractNum>
  <w:abstractNum w:abstractNumId="116">
    <w:nsid w:val="3DD15094"/>
    <w:multiLevelType w:val="hybridMultilevel"/>
    <w:lvl w:ilvl="0">
      <w:lvlJc w:val="left"/>
      <w:lvlText w:val="(%1)"/>
      <w:numFmt w:val="lowerRoman"/>
      <w:start w:val="2"/>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
      <w:numFmt w:val="bullet"/>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1)"/>
      <w:numFmt w:val="lowerLetter"/>
      <w:start w:val="4"/>
    </w:lvl>
  </w:abstractNum>
  <w:abstractNum w:abstractNumId="122">
    <w:nsid w:val="53B0A9E"/>
    <w:multiLevelType w:val="hybridMultilevel"/>
    <w:lvl w:ilvl="0">
      <w:lvlJc w:val="left"/>
      <w:lvlText w:val="(%1)"/>
      <w:numFmt w:val="lowerRoman"/>
      <w:start w:val="2"/>
    </w:lvl>
  </w:abstractNum>
  <w:abstractNum w:abstractNumId="123">
    <w:nsid w:val="34FD6B4F"/>
    <w:multiLevelType w:val="hybridMultilevel"/>
    <w:lvl w:ilvl="0">
      <w:lvlJc w:val="left"/>
      <w:lvlText w:val="(%1)"/>
      <w:numFmt w:val="lowerLetter"/>
      <w:start w:val="3"/>
    </w:lvl>
  </w:abstractNum>
  <w:abstractNum w:abstractNumId="124">
    <w:nsid w:val="5915FF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2026-06-15T06:05:33Z</dcterms:created>
  <dcterms:modified xsi:type="dcterms:W3CDTF">2026-06-15T06:05:33Z</dcterms:modified>
</cp:coreProperties>
</file>