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December 3, 2025</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Semnur Pharmaceuticals, Inc.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10560"/>
          </w:cols>
          <w:pgMar w:left="660" w:top="223"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98-1659463</w:t>
      </w:r>
    </w:p>
    <w:p>
      <w:pPr>
        <w:spacing w:after="0" w:line="7" w:lineRule="exact"/>
        <w:rPr>
          <w:sz w:val="24"/>
          <w:szCs w:val="24"/>
          <w:color w:val="auto"/>
        </w:rPr>
      </w:pPr>
    </w:p>
    <w:p>
      <w:pPr>
        <w:sectPr>
          <w:pgSz w:w="11900" w:h="16838" w:orient="portrait"/>
          <w:cols w:equalWidth="0" w:num="2">
            <w:col w:w="6860" w:space="720"/>
            <w:col w:w="2980"/>
          </w:cols>
          <w:pgMar w:left="660" w:top="223" w:right="67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99" w:lineRule="exact"/>
        <w:rPr>
          <w:sz w:val="24"/>
          <w:szCs w:val="24"/>
          <w:color w:val="auto"/>
        </w:rPr>
      </w:pPr>
    </w:p>
    <w:p>
      <w:pPr>
        <w:sectPr>
          <w:pgSz w:w="11900" w:h="16838" w:orient="portrait"/>
          <w:cols w:equalWidth="0" w:num="2">
            <w:col w:w="6740" w:space="720"/>
            <w:col w:w="3100"/>
          </w:cols>
          <w:pgMar w:left="660" w:top="223" w:right="6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Semnur Pharmaceuticals,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960 San Antonio Road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Palo Alto, CA 94303</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221615</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10560"/>
          </w:cols>
          <w:pgMar w:left="660" w:top="223" w:right="679" w:bottom="1440"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Semnur Pharmaceuticals, Inc. 2024 Stock Option Plan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Jaisim Shah</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 &amp; President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960 San Antonio Road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Palo Alto, CA 94303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(650) 516-4310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206375</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Jeffrey T. Hartlin, Esq.</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Elizabeth A. Razzano,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Paul Hastings LLP</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1117 S. California Avenue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Palo Alto, California 94304</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(650) 320-1800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220980</wp:posOffset>
            </wp:positionV>
            <wp:extent cx="141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173355</wp:posOffset>
            </wp:positionV>
            <wp:extent cx="6710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60"/>
          </w:cols>
          <w:pgMar w:left="660" w:top="223" w:right="6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EXPLANATORY NOTE</w:t>
      </w:r>
    </w:p>
    <w:p>
      <w:pPr>
        <w:spacing w:after="0" w:line="221" w:lineRule="exact"/>
        <w:rPr>
          <w:sz w:val="20"/>
          <w:szCs w:val="20"/>
          <w:color w:val="auto"/>
        </w:rPr>
      </w:pPr>
    </w:p>
    <w:p>
      <w:pPr>
        <w:ind w:right="40" w:firstLine="422"/>
        <w:spacing w:after="0" w:line="259" w:lineRule="auto"/>
        <w:rPr>
          <w:sz w:val="20"/>
          <w:szCs w:val="20"/>
          <w:color w:val="auto"/>
        </w:rPr>
      </w:pPr>
      <w:r>
        <w:rPr>
          <w:rFonts w:ascii="Times New Roman" w:cs="Times New Roman" w:eastAsia="Times New Roman" w:hAnsi="Times New Roman"/>
          <w:sz w:val="17"/>
          <w:szCs w:val="17"/>
          <w:color w:val="auto"/>
        </w:rPr>
        <w:t>This Registration Statement on Form S-8 (this “Registration Statement”) is being filed by Semnur Pharmaceuticals, Inc., a Delaware corporation (the “Company”), relating to 46,250,000 shares of the Company’s common stock, par value $0.0001 per share (“Common Stock”), issuable upon exercise of outstanding stock options previously granted under the Semnur Pharmaceuticals, Inc. 2024 Stock Option Plan (the “Plan”), of which options were assumed by the Company in connection with the business combination effected on September 22, 2025 (the “Business Combination”) pursuant to that certain Agreement and Plan of Merger, dated as of August 30, 2024 (as amended, restated or supplemented from time to time, including by Amendment No. 1 to Agreement and Plan of Merger, dated April 16, 2025, and by Amendment No. 2 to Agreement and Plan of Merger, dated July 22, 2025) (the “Merger Agreement”), by and among the Company (formerly known as Denali Capital Acquisition Corp.), Denali Merger Sub Inc., our then-wholly owned subsidiary, and the pre-Business Combination Semnur Pharmaceuticals, Inc. (now named Semnur, Inc.).</w:t>
      </w:r>
    </w:p>
    <w:p>
      <w:pPr>
        <w:spacing w:after="0" w:line="177" w:lineRule="exact"/>
        <w:rPr>
          <w:sz w:val="20"/>
          <w:szCs w:val="20"/>
          <w:color w:val="auto"/>
        </w:rPr>
      </w:pPr>
    </w:p>
    <w:p>
      <w:pPr>
        <w:ind w:firstLine="422"/>
        <w:spacing w:after="0" w:line="259" w:lineRule="auto"/>
        <w:rPr>
          <w:sz w:val="20"/>
          <w:szCs w:val="20"/>
          <w:color w:val="auto"/>
        </w:rPr>
      </w:pPr>
      <w:r>
        <w:rPr>
          <w:rFonts w:ascii="Times New Roman" w:cs="Times New Roman" w:eastAsia="Times New Roman" w:hAnsi="Times New Roman"/>
          <w:sz w:val="17"/>
          <w:szCs w:val="17"/>
          <w:color w:val="auto"/>
        </w:rPr>
        <w:t>This Registration Statement also includes a reoffer prospectus (the “Reoffer Prospectus”) prepared in accordance with General Instruction C of Form S-8 and in accordance with the requirements of Part I of Form S-3. This Reoffer Prospectus may be used for the reoffer and resale of shares of Common Stock on a continuous or delayed basis that may be deemed to be “control securities” within the meaning of the Securities Act of 1933, as amended (the “Securities Act”), and the rules and regulations promulgated thereunder, that are issuable to certain of our executive officers and directors identified in the Reoffer Prospectus. The number of shares of Common Stock included in the Reoffer Prospectus represents shares of Common Stock issuable to the selling stockholders pursuant to stock options granted to the selling stockholders and does not necessarily represent a present intention to sell any or all such shares of Common Stock. The number of shares of Common Stock to be offered or resold by means of the Reoffer Prospectus by the selling stockholders, and any other person with whom any of them is acting in concert for the purpose of selling Common Stock, may not exceed, during any three-month period, the amount specified in Rule 144(e) under the Securities Act.</w:t>
      </w:r>
    </w:p>
    <w:p>
      <w:pPr>
        <w:sectPr>
          <w:pgSz w:w="11900" w:h="16838" w:orient="portrait"/>
          <w:cols w:equalWidth="0" w:num="1">
            <w:col w:w="10560"/>
          </w:cols>
          <w:pgMar w:left="660" w:top="262" w:right="6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PLAN INFORMATION.</w:t>
      </w:r>
    </w:p>
    <w:p>
      <w:pPr>
        <w:spacing w:after="0" w:line="117" w:lineRule="exact"/>
        <w:rPr>
          <w:sz w:val="20"/>
          <w:szCs w:val="20"/>
          <w:color w:val="auto"/>
        </w:rPr>
      </w:pPr>
    </w:p>
    <w:p>
      <w:pPr>
        <w:jc w:val="both"/>
        <w:ind w:firstLine="422"/>
        <w:spacing w:after="0" w:line="263" w:lineRule="auto"/>
        <w:rPr>
          <w:sz w:val="20"/>
          <w:szCs w:val="20"/>
          <w:color w:val="auto"/>
        </w:rPr>
      </w:pPr>
      <w:r>
        <w:rPr>
          <w:rFonts w:ascii="Times New Roman" w:cs="Times New Roman" w:eastAsia="Times New Roman" w:hAnsi="Times New Roman"/>
          <w:sz w:val="17"/>
          <w:szCs w:val="17"/>
          <w:color w:val="auto"/>
        </w:rPr>
        <w:t>The document(s) containing the information specified in Part I will be sent or given to participants as specified by Rule 428(b)(1) of the Securities Act. Such documents are not being filed with the Securities and Exchange Commission (the “Commission”) either as part of this Registration Statement or as prospectuses or prospectus supplements pursuant to Rule 424 of the Securities Act. Such documents and the documents incorporated by reference in this Registration Statement pursuant to Item 3 of Part II hereof, taken together, constitute a prospectus that meets the requirements of Section 10(a) of the Securities Act.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REGISTRANT INFORMATION AND EMPLOYEE PLAN ANNUAL INFORMATION.</w:t>
      </w:r>
    </w:p>
    <w:p>
      <w:pPr>
        <w:spacing w:after="0" w:line="117" w:lineRule="exact"/>
        <w:rPr>
          <w:sz w:val="20"/>
          <w:szCs w:val="20"/>
          <w:color w:val="auto"/>
        </w:rPr>
      </w:pPr>
    </w:p>
    <w:p>
      <w:pPr>
        <w:ind w:right="320" w:firstLine="422"/>
        <w:spacing w:after="0" w:line="266" w:lineRule="auto"/>
        <w:rPr>
          <w:sz w:val="20"/>
          <w:szCs w:val="20"/>
          <w:color w:val="auto"/>
        </w:rPr>
      </w:pPr>
      <w:r>
        <w:rPr>
          <w:rFonts w:ascii="Times New Roman" w:cs="Times New Roman" w:eastAsia="Times New Roman" w:hAnsi="Times New Roman"/>
          <w:sz w:val="17"/>
          <w:szCs w:val="17"/>
          <w:color w:val="auto"/>
        </w:rPr>
        <w:t>The written statement required by Item 2 of Part I is included in documents that will be delivered to participants in the plan covered by this Registration Statement pursuant to Rule 428(b) of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ectPr>
          <w:pgSz w:w="11900" w:h="16838" w:orient="portrait"/>
          <w:cols w:equalWidth="0" w:num="1">
            <w:col w:w="10540"/>
          </w:cols>
          <w:pgMar w:left="660" w:top="262"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REOFFER PROSPECTUS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Semnur Pharmaceuticals, Inc.</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Reoffer Prospectus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46,250,000 Shares of Common Stock Offered by Selling Stockholders</w:t>
      </w:r>
    </w:p>
    <w:p>
      <w:pPr>
        <w:spacing w:after="0" w:line="227" w:lineRule="exact"/>
        <w:rPr>
          <w:sz w:val="20"/>
          <w:szCs w:val="20"/>
          <w:color w:val="auto"/>
        </w:rPr>
      </w:pPr>
    </w:p>
    <w:p>
      <w:pPr>
        <w:ind w:firstLine="422"/>
        <w:spacing w:after="0" w:line="258" w:lineRule="auto"/>
        <w:rPr>
          <w:sz w:val="20"/>
          <w:szCs w:val="20"/>
          <w:color w:val="auto"/>
        </w:rPr>
      </w:pPr>
      <w:r>
        <w:rPr>
          <w:rFonts w:ascii="Times New Roman" w:cs="Times New Roman" w:eastAsia="Times New Roman" w:hAnsi="Times New Roman"/>
          <w:sz w:val="17"/>
          <w:szCs w:val="17"/>
          <w:color w:val="auto"/>
        </w:rPr>
        <w:t>This reoffer prospectus (this “Reoffer Prospectus”) relates to the offer and sale from time to time by the selling stockholders named in this Reoffer Prospectus (the “Selling Stockholders”), or their permitted transferees, of up to 46,250,000 shares of common stock, par value $0.0001 per share (the “Common Stock”), of Semnur Pharmaceuticals, Inc., a Delaware corporation (the “Company”, “we”, “us”, “our”). This Reoffer Prospectus covers 46,250,000 shares of Common Stock that are issuable upon exercise of outstanding stock options previously granted under the Semnur Pharmaceuticals, Inc. 2024 Stock Option Plan (the “Plan”). If, subsequent to the date of this Reoffer Prospectus, we grant or issue additional equity awards or shares to the Selling Stockholders or to other affiliates under the Plan, we may supplement this Reoffer Prospectus to reflect the issuance of such additional equity awards or shares to the Selling Stockholders and/or the names of such affiliates and the amounts of shares to be reoffered by them under the Plan. We are not offering any shares of Common Stock and will not receive any proceeds from the sale of the shares of Common Stock by the Selling Stockholders pursuant to this Reoffer Prospectus. The Selling Stockholders are certain of our directors and executive officers, each of whom may be considered an “affiliate” of the Company (as defined in Rule 405 under the Securities Act of 1933, as amended (the “Securities Act”)).</w:t>
      </w:r>
    </w:p>
    <w:p>
      <w:pPr>
        <w:spacing w:after="0" w:line="178" w:lineRule="exact"/>
        <w:rPr>
          <w:sz w:val="20"/>
          <w:szCs w:val="20"/>
          <w:color w:val="auto"/>
        </w:rPr>
      </w:pPr>
    </w:p>
    <w:p>
      <w:pPr>
        <w:ind w:right="80" w:firstLine="422"/>
        <w:spacing w:after="0" w:line="257" w:lineRule="auto"/>
        <w:rPr>
          <w:sz w:val="20"/>
          <w:szCs w:val="20"/>
          <w:color w:val="auto"/>
        </w:rPr>
      </w:pPr>
      <w:r>
        <w:rPr>
          <w:rFonts w:ascii="Times New Roman" w:cs="Times New Roman" w:eastAsia="Times New Roman" w:hAnsi="Times New Roman"/>
          <w:sz w:val="17"/>
          <w:szCs w:val="17"/>
          <w:color w:val="auto"/>
        </w:rPr>
        <w:t>Subject to the satisfaction of any conditions to vesting of the shares of Common Stock offered hereby pursuant to the terms of the relevant award agreements, and subject to the expiration of any lock-up agreements described herein, the Selling Stockholders may from time to time sell, transfer or otherwise dispose of any or all of the shares of Common Stock covered by this Reoffer Prospectus through underwriters or dealers, directly to purchasers (or a single purchaser) or through broker-dealers or agents. If underwriters or dealers are used to sell the shares of Common Stock, we will name them and describe their compensation in a prospectus supplement. The shares of Common Stock may be sold in one or more transactions at fixed prices, prevailing market prices at the time of sale, prices related to the prevailing market prices, varying prices determined at the time of sale or negotiated prices. We do not know when or in what amount the Selling Stockholders may offer the shares of Common Stock for sale. The Selling Stockholders may sell any, all or none of the shares of Common Stock offered by this Reoffer Prospectus.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beginning on page 12 for more information about how the Selling Stockholders may sell or dispose of the shares of Common Stock covered by this Reoffer Prospectus. The Selling Stockholders will bear all sales commissions and similar expenses. We will bear all expenses of registration incurred in connection with this offering, including any other expenses incurred by us in connection with the registration and offering that are not borne by the Selling Stockholders.</w:t>
      </w:r>
    </w:p>
    <w:p>
      <w:pPr>
        <w:spacing w:after="0" w:line="391" w:lineRule="exact"/>
        <w:rPr>
          <w:sz w:val="20"/>
          <w:szCs w:val="20"/>
          <w:color w:val="auto"/>
        </w:rPr>
      </w:pPr>
    </w:p>
    <w:p>
      <w:pPr>
        <w:ind w:firstLine="422"/>
        <w:spacing w:after="0" w:line="261" w:lineRule="auto"/>
        <w:rPr>
          <w:sz w:val="20"/>
          <w:szCs w:val="20"/>
          <w:color w:val="auto"/>
        </w:rPr>
      </w:pPr>
      <w:r>
        <w:rPr>
          <w:rFonts w:ascii="Times New Roman" w:cs="Times New Roman" w:eastAsia="Times New Roman" w:hAnsi="Times New Roman"/>
          <w:sz w:val="17"/>
          <w:szCs w:val="17"/>
          <w:color w:val="auto"/>
        </w:rPr>
        <w:t>Shares of Common Stock that will be issued pursuant to the stock options granted to the Selling Stockholders will be “control securities” under the Securities Act before their sale under this Reoffer Prospectus. This Reoffer Prospectus has been prepared for the purposes of registering the shares of Common Stock under the Securities Act to allow for future sales by the Selling Stockholders on a continuous or delayed basis to the public without restriction, provided that the amount of shares of Common Stock to be offered or resold under this Reoffer Prospectus by each Selling Stockholder or other person with whom he or she is acting in concert for the purpose of selling shares of Common Stock, may not exceed, during any three-month period, the amount specified in Rule 144(e) under the Securities Act.</w:t>
      </w:r>
    </w:p>
    <w:p>
      <w:pPr>
        <w:spacing w:after="0" w:line="175" w:lineRule="exact"/>
        <w:rPr>
          <w:sz w:val="20"/>
          <w:szCs w:val="20"/>
          <w:color w:val="auto"/>
        </w:rPr>
      </w:pPr>
    </w:p>
    <w:p>
      <w:pPr>
        <w:ind w:right="200" w:firstLine="422"/>
        <w:spacing w:after="0" w:line="291" w:lineRule="auto"/>
        <w:rPr>
          <w:sz w:val="20"/>
          <w:szCs w:val="20"/>
          <w:color w:val="auto"/>
        </w:rPr>
      </w:pPr>
      <w:r>
        <w:rPr>
          <w:rFonts w:ascii="Times New Roman" w:cs="Times New Roman" w:eastAsia="Times New Roman" w:hAnsi="Times New Roman"/>
          <w:sz w:val="17"/>
          <w:szCs w:val="17"/>
          <w:color w:val="auto"/>
        </w:rPr>
        <w:t>Our Common Stock trades on the Pink Limited Market of the OTC Markets Group, Inc. under the symbol “SMNR”. On December 2, 2025, the last reported sales price per share of our Common Stock was $9.00.</w:t>
      </w:r>
    </w:p>
    <w:p>
      <w:pPr>
        <w:spacing w:after="0" w:line="148" w:lineRule="exact"/>
        <w:rPr>
          <w:sz w:val="20"/>
          <w:szCs w:val="20"/>
          <w:color w:val="auto"/>
        </w:rPr>
      </w:pPr>
    </w:p>
    <w:p>
      <w:pPr>
        <w:ind w:firstLine="422"/>
        <w:spacing w:after="0" w:line="273" w:lineRule="auto"/>
        <w:rPr>
          <w:sz w:val="20"/>
          <w:szCs w:val="20"/>
          <w:color w:val="auto"/>
        </w:rPr>
      </w:pPr>
      <w:r>
        <w:rPr>
          <w:rFonts w:ascii="Times New Roman" w:cs="Times New Roman" w:eastAsia="Times New Roman" w:hAnsi="Times New Roman"/>
          <w:sz w:val="17"/>
          <w:szCs w:val="17"/>
          <w:color w:val="auto"/>
        </w:rPr>
        <w:t>We are an “emerging growth company” and a “smaller reporting company” as defined under the U.S. federal securities laws and, as such, we have elected to comply with certain reduced public company reporting requirements for this Reoffer Prospectus and future filings with the Securities and Exchange Commission (the “Commission”).</w:t>
      </w:r>
    </w:p>
    <w:p>
      <w:pPr>
        <w:sectPr>
          <w:pgSz w:w="11900" w:h="16838" w:orient="portrait"/>
          <w:cols w:equalWidth="0" w:num="1">
            <w:col w:w="10540"/>
          </w:cols>
          <w:pgMar w:left="660" w:top="262" w:right="699" w:bottom="1440" w:gutter="0" w:footer="0" w:header="0"/>
        </w:sectPr>
      </w:pPr>
    </w:p>
    <w:bookmarkStart w:id="4" w:name="page5"/>
    <w:bookmarkEnd w:id="4"/>
    <w:p>
      <w:pPr>
        <w:ind w:firstLine="422"/>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We may amend or supplement this Reoffer Prospectus from time to time by filing amendments or supplements as required. You should read this Reoffer Prospectus, together with additional information described under the heading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xml:space="preserve"> and any amendments or supplements carefully before you invest in any of our securities.</w:t>
      </w:r>
    </w:p>
    <w:p>
      <w:pPr>
        <w:spacing w:after="0" w:line="151" w:lineRule="exact"/>
        <w:rPr>
          <w:sz w:val="20"/>
          <w:szCs w:val="20"/>
          <w:color w:val="auto"/>
        </w:rPr>
      </w:pPr>
    </w:p>
    <w:p>
      <w:pPr>
        <w:ind w:right="180" w:firstLine="422"/>
        <w:spacing w:after="0" w:line="262" w:lineRule="auto"/>
        <w:rPr>
          <w:sz w:val="20"/>
          <w:szCs w:val="20"/>
          <w:color w:val="auto"/>
        </w:rPr>
      </w:pPr>
      <w:r>
        <w:rPr>
          <w:rFonts w:ascii="Times New Roman" w:cs="Times New Roman" w:eastAsia="Times New Roman" w:hAnsi="Times New Roman"/>
          <w:sz w:val="21"/>
          <w:szCs w:val="21"/>
          <w:b w:val="1"/>
          <w:bCs w:val="1"/>
          <w:color w:val="auto"/>
        </w:rPr>
        <w:t>Investing in our Common Stock involves substantial risk. You should review carefully the risks and uncertainties described under the heading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color w:val="auto"/>
        </w:rPr>
        <w:t>” beginning on page 7 of this Reoffer Prospectus.</w:t>
      </w:r>
    </w:p>
    <w:p>
      <w:pPr>
        <w:spacing w:after="0" w:line="155" w:lineRule="exact"/>
        <w:rPr>
          <w:sz w:val="20"/>
          <w:szCs w:val="20"/>
          <w:color w:val="auto"/>
        </w:rPr>
      </w:pPr>
    </w:p>
    <w:p>
      <w:pPr>
        <w:ind w:right="220" w:firstLine="422"/>
        <w:spacing w:after="0" w:line="294" w:lineRule="auto"/>
        <w:rPr>
          <w:sz w:val="20"/>
          <w:szCs w:val="20"/>
          <w:color w:val="auto"/>
        </w:rPr>
      </w:pPr>
      <w:r>
        <w:rPr>
          <w:rFonts w:ascii="Times New Roman" w:cs="Times New Roman" w:eastAsia="Times New Roman" w:hAnsi="Times New Roman"/>
          <w:sz w:val="17"/>
          <w:szCs w:val="17"/>
          <w:b w:val="1"/>
          <w:bCs w:val="1"/>
          <w:color w:val="auto"/>
        </w:rPr>
        <w:t>Neither the Commission nor any other regulatory body has approved or disapproved of these securities or passed upon the accuracy or adequacy of this Reoffer Prospectus. Any representation to the contrary is a criminal offense.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Reoffer Prospectus is December 3, 2025.</w:t>
      </w:r>
    </w:p>
    <w:p>
      <w:pPr>
        <w:sectPr>
          <w:pgSz w:w="11900" w:h="16838" w:orient="portrait"/>
          <w:cols w:equalWidth="0" w:num="1">
            <w:col w:w="10560"/>
          </w:cols>
          <w:pgMar w:left="660" w:top="264" w:right="6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0" w:type="dxa"/>
            <w:vAlign w:val="bottom"/>
          </w:tcPr>
          <w:p>
            <w:pPr>
              <w:jc w:val="right"/>
              <w:ind w:right="4275"/>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331"/>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140" w:type="dxa"/>
            <w:vAlign w:val="bottom"/>
            <w:tcBorders>
              <w:bottom w:val="single" w:sz="8" w:color="0000EE"/>
            </w:tcBorders>
            <w:gridSpan w:val="8"/>
          </w:tcPr>
          <w:p>
            <w:pPr>
              <w:spacing w:after="0" w:line="187" w:lineRule="exact"/>
              <w:rPr>
                <w:sz w:val="20"/>
                <w:szCs w:val="20"/>
                <w:color w:val="auto"/>
              </w:rPr>
            </w:pPr>
            <w:r>
              <w:rPr>
                <w:rFonts w:ascii="Times New Roman" w:cs="Times New Roman" w:eastAsia="Times New Roman" w:hAnsi="Times New Roman"/>
                <w:sz w:val="17"/>
                <w:szCs w:val="17"/>
                <w:color w:val="0000EE"/>
              </w:rPr>
              <w:t>About This Reoffer Prospectus</w:t>
            </w:r>
          </w:p>
        </w:tc>
        <w:tc>
          <w:tcPr>
            <w:tcW w:w="2020" w:type="dxa"/>
            <w:vAlign w:val="bottom"/>
            <w:gridSpan w:val="6"/>
          </w:tcPr>
          <w:p>
            <w:pPr>
              <w:spacing w:after="0"/>
              <w:rPr>
                <w:sz w:val="16"/>
                <w:szCs w:val="16"/>
                <w:color w:val="auto"/>
              </w:rPr>
            </w:pPr>
          </w:p>
        </w:tc>
        <w:tc>
          <w:tcPr>
            <w:tcW w:w="64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1</w:t>
            </w:r>
          </w:p>
        </w:tc>
      </w:tr>
      <w:tr>
        <w:trPr>
          <w:trHeight w:val="291"/>
        </w:trPr>
        <w:tc>
          <w:tcPr>
            <w:tcW w:w="41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91"/>
        </w:trPr>
        <w:tc>
          <w:tcPr>
            <w:tcW w:w="41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91"/>
        </w:trPr>
        <w:tc>
          <w:tcPr>
            <w:tcW w:w="39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180" w:type="dxa"/>
            <w:vAlign w:val="bottom"/>
          </w:tcPr>
          <w:p>
            <w:pPr>
              <w:spacing w:after="0"/>
              <w:rPr>
                <w:sz w:val="24"/>
                <w:szCs w:val="24"/>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91"/>
        </w:trPr>
        <w:tc>
          <w:tcPr>
            <w:tcW w:w="41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Summary of this Reoffer Prospectus</w:t>
            </w: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91"/>
        </w:trPr>
        <w:tc>
          <w:tcPr>
            <w:tcW w:w="250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1660" w:type="dxa"/>
            <w:vAlign w:val="bottom"/>
            <w:gridSpan w:val="4"/>
          </w:tcPr>
          <w:p>
            <w:pPr>
              <w:spacing w:after="0"/>
              <w:rPr>
                <w:sz w:val="24"/>
                <w:szCs w:val="24"/>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91"/>
        </w:trPr>
        <w:tc>
          <w:tcPr>
            <w:tcW w:w="2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Determination of Offering Price</w:t>
            </w:r>
          </w:p>
        </w:tc>
        <w:tc>
          <w:tcPr>
            <w:tcW w:w="1940" w:type="dxa"/>
            <w:vAlign w:val="bottom"/>
            <w:gridSpan w:val="5"/>
          </w:tcPr>
          <w:p>
            <w:pPr>
              <w:spacing w:after="0"/>
              <w:rPr>
                <w:sz w:val="24"/>
                <w:szCs w:val="24"/>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91"/>
        </w:trPr>
        <w:tc>
          <w:tcPr>
            <w:tcW w:w="41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91"/>
        </w:trPr>
        <w:tc>
          <w:tcPr>
            <w:tcW w:w="1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Description of Securities</w:t>
            </w:r>
          </w:p>
        </w:tc>
        <w:tc>
          <w:tcPr>
            <w:tcW w:w="2440" w:type="dxa"/>
            <w:vAlign w:val="bottom"/>
            <w:gridSpan w:val="7"/>
          </w:tcPr>
          <w:p>
            <w:pPr>
              <w:spacing w:after="0"/>
              <w:rPr>
                <w:sz w:val="24"/>
                <w:szCs w:val="24"/>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91"/>
        </w:trPr>
        <w:tc>
          <w:tcPr>
            <w:tcW w:w="1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Selling Stockholders</w:t>
            </w:r>
          </w:p>
        </w:tc>
        <w:tc>
          <w:tcPr>
            <w:tcW w:w="2720" w:type="dxa"/>
            <w:vAlign w:val="bottom"/>
            <w:gridSpan w:val="8"/>
          </w:tcPr>
          <w:p>
            <w:pPr>
              <w:spacing w:after="0"/>
              <w:rPr>
                <w:sz w:val="24"/>
                <w:szCs w:val="24"/>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91"/>
        </w:trPr>
        <w:tc>
          <w:tcPr>
            <w:tcW w:w="1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Plan of Distribution</w:t>
            </w:r>
          </w:p>
        </w:tc>
        <w:tc>
          <w:tcPr>
            <w:tcW w:w="2780" w:type="dxa"/>
            <w:vAlign w:val="bottom"/>
            <w:gridSpan w:val="9"/>
          </w:tcPr>
          <w:p>
            <w:pPr>
              <w:spacing w:after="0"/>
              <w:rPr>
                <w:sz w:val="24"/>
                <w:szCs w:val="24"/>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91"/>
        </w:trPr>
        <w:tc>
          <w:tcPr>
            <w:tcW w:w="41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91"/>
        </w:trPr>
        <w:tc>
          <w:tcPr>
            <w:tcW w:w="9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Experts</w:t>
            </w:r>
          </w:p>
        </w:tc>
        <w:tc>
          <w:tcPr>
            <w:tcW w:w="3200" w:type="dxa"/>
            <w:vAlign w:val="bottom"/>
            <w:gridSpan w:val="11"/>
          </w:tcPr>
          <w:p>
            <w:pPr>
              <w:spacing w:after="0"/>
              <w:rPr>
                <w:sz w:val="24"/>
                <w:szCs w:val="24"/>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p>
      <w:pPr>
        <w:ind w:right="180" w:firstLine="422"/>
        <w:spacing w:after="0" w:line="274"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Reoffer Prospectus. No one has been authorized to provide you with information that is different from that contained in this Reoffer Prospectus. This Reoffer Prospectus is dated as of the date set forth on the cover hereof. You should not assume that the information contained in this Reoffer Prospectus is accurate as of any date other than that date.</w:t>
      </w:r>
    </w:p>
    <w:p>
      <w:pPr>
        <w:spacing w:after="0" w:line="159" w:lineRule="exact"/>
        <w:rPr>
          <w:sz w:val="20"/>
          <w:szCs w:val="20"/>
          <w:color w:val="auto"/>
        </w:rPr>
      </w:pPr>
    </w:p>
    <w:p>
      <w:pPr>
        <w:ind w:right="20" w:firstLine="422"/>
        <w:spacing w:after="0" w:line="274" w:lineRule="auto"/>
        <w:rPr>
          <w:sz w:val="20"/>
          <w:szCs w:val="20"/>
          <w:color w:val="auto"/>
        </w:rPr>
      </w:pPr>
      <w:r>
        <w:rPr>
          <w:rFonts w:ascii="Times New Roman" w:cs="Times New Roman" w:eastAsia="Times New Roman" w:hAnsi="Times New Roman"/>
          <w:sz w:val="17"/>
          <w:szCs w:val="17"/>
          <w:b w:val="1"/>
          <w:bCs w:val="1"/>
          <w:color w:val="auto"/>
        </w:rPr>
        <w:t>For investors outside the United States</w:t>
      </w:r>
      <w:r>
        <w:rPr>
          <w:rFonts w:ascii="Times New Roman" w:cs="Times New Roman" w:eastAsia="Times New Roman" w:hAnsi="Times New Roman"/>
          <w:sz w:val="17"/>
          <w:szCs w:val="17"/>
          <w:color w:val="auto"/>
        </w:rPr>
        <w:t>: We have not done anything that would permit this offering or possession or distribution of this Reoffer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Prospectus in any jurisdiction where action for that purpose is required, other than in the United States. You are required to inform yourselves about, and to observe, any restrictions relating to this offering and the distribution of this Reoffer Prospectus.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560"/>
          </w:cols>
          <w:pgMar w:left="660" w:top="262" w:right="6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ABOUT THIS REOFFER PROSPECTUS</w:t>
      </w:r>
    </w:p>
    <w:p>
      <w:pPr>
        <w:spacing w:after="0" w:line="221" w:lineRule="exact"/>
        <w:rPr>
          <w:sz w:val="20"/>
          <w:szCs w:val="20"/>
          <w:color w:val="auto"/>
        </w:rPr>
      </w:pPr>
    </w:p>
    <w:p>
      <w:pPr>
        <w:ind w:firstLine="422"/>
        <w:spacing w:after="0" w:line="261" w:lineRule="auto"/>
        <w:rPr>
          <w:sz w:val="20"/>
          <w:szCs w:val="20"/>
          <w:color w:val="auto"/>
        </w:rPr>
      </w:pPr>
      <w:r>
        <w:rPr>
          <w:rFonts w:ascii="Times New Roman" w:cs="Times New Roman" w:eastAsia="Times New Roman" w:hAnsi="Times New Roman"/>
          <w:sz w:val="17"/>
          <w:szCs w:val="17"/>
          <w:color w:val="auto"/>
        </w:rPr>
        <w:t>This Reoffer Prospectus contains important information you should know before investing, including important information about the Company and the securities being offered. You should carefully read this Reoffer Prospectus, as well as the additional information contained in the documents described under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in this Reoffer Prospectus, and in particular the periodic and current reporting documents we file with the Commission. We have not authorized any other person to provide you with different information. If anyone provides you with different or inconsistent information, you should not rely on it. This Reoffer Prospectus is not an offer to sell these securities, and it is not soliciting an offer to buy these securities in any jurisdiction where the offer or sale is not permitted.</w:t>
      </w:r>
    </w:p>
    <w:p>
      <w:pPr>
        <w:spacing w:after="0" w:line="175" w:lineRule="exact"/>
        <w:rPr>
          <w:sz w:val="20"/>
          <w:szCs w:val="20"/>
          <w:color w:val="auto"/>
        </w:rPr>
      </w:pPr>
    </w:p>
    <w:p>
      <w:pPr>
        <w:ind w:right="100" w:firstLine="422"/>
        <w:spacing w:after="0" w:line="273" w:lineRule="auto"/>
        <w:rPr>
          <w:sz w:val="20"/>
          <w:szCs w:val="20"/>
          <w:color w:val="auto"/>
        </w:rPr>
      </w:pPr>
      <w:r>
        <w:rPr>
          <w:rFonts w:ascii="Times New Roman" w:cs="Times New Roman" w:eastAsia="Times New Roman" w:hAnsi="Times New Roman"/>
          <w:sz w:val="17"/>
          <w:szCs w:val="17"/>
          <w:color w:val="auto"/>
        </w:rPr>
        <w:t>You should not assume that the information in this Reoffer Prospectus or any documents we incorporate by reference herein or therein is accurate as of any date other than the date on the front of those documents. Our business, financial condition, results of operations and prospects may have changed since those dates.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21" w:lineRule="exact"/>
        <w:rPr>
          <w:sz w:val="20"/>
          <w:szCs w:val="20"/>
          <w:color w:val="auto"/>
        </w:rPr>
      </w:pPr>
    </w:p>
    <w:p>
      <w:pPr>
        <w:ind w:right="160" w:firstLine="422"/>
        <w:spacing w:after="0" w:line="273" w:lineRule="auto"/>
        <w:rPr>
          <w:sz w:val="20"/>
          <w:szCs w:val="20"/>
          <w:color w:val="auto"/>
        </w:rPr>
      </w:pPr>
      <w:r>
        <w:rPr>
          <w:rFonts w:ascii="Times New Roman" w:cs="Times New Roman" w:eastAsia="Times New Roman" w:hAnsi="Times New Roman"/>
          <w:sz w:val="17"/>
          <w:szCs w:val="17"/>
          <w:color w:val="auto"/>
        </w:rPr>
        <w:t>We have filed a Registration Statement on Form S-8 (this “Registration Statement”), including exhibits, under the Securities Act, with respect to the shares of Common Stock offered by this Reoffer Prospectus. This Reoffer Prospectus does not contain all of the information included in the Registration Statement. For further information pertaining to us and our securities, you should refer to the Registration Statement and our exhibits.</w:t>
      </w:r>
    </w:p>
    <w:p>
      <w:pPr>
        <w:spacing w:after="0" w:line="162" w:lineRule="exact"/>
        <w:rPr>
          <w:sz w:val="20"/>
          <w:szCs w:val="20"/>
          <w:color w:val="auto"/>
        </w:rPr>
      </w:pPr>
    </w:p>
    <w:p>
      <w:pPr>
        <w:ind w:right="80" w:firstLine="422"/>
        <w:spacing w:after="0" w:line="263" w:lineRule="auto"/>
        <w:rPr>
          <w:sz w:val="20"/>
          <w:szCs w:val="20"/>
          <w:color w:val="auto"/>
        </w:rPr>
      </w:pPr>
      <w:r>
        <w:rPr>
          <w:rFonts w:ascii="Times New Roman" w:cs="Times New Roman" w:eastAsia="Times New Roman" w:hAnsi="Times New Roman"/>
          <w:sz w:val="17"/>
          <w:szCs w:val="17"/>
          <w:color w:val="auto"/>
        </w:rPr>
        <w:t xml:space="preserve">In addition, we file annual, quarterly and current reports, prospectus and other information with the Commission. Our Commission filings are available to the public on a website maintained by the Commission located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We also maintain a website at </w:t>
      </w:r>
      <w:r>
        <w:rPr>
          <w:rFonts w:ascii="Times New Roman" w:cs="Times New Roman" w:eastAsia="Times New Roman" w:hAnsi="Times New Roman"/>
          <w:sz w:val="17"/>
          <w:szCs w:val="17"/>
          <w:i w:val="1"/>
          <w:iCs w:val="1"/>
          <w:color w:val="auto"/>
        </w:rPr>
        <w:t>www.semnurpharma.com</w:t>
      </w:r>
      <w:r>
        <w:rPr>
          <w:rFonts w:ascii="Times New Roman" w:cs="Times New Roman" w:eastAsia="Times New Roman" w:hAnsi="Times New Roman"/>
          <w:sz w:val="17"/>
          <w:szCs w:val="17"/>
          <w:color w:val="auto"/>
        </w:rPr>
        <w:t>. Through our website, we make available, free of charge, annual, quarterly and current reports, prospectus and other information as soon as reasonably practicable after they are electronically filed with, or furnished to, the Commission. The information contained on, or that may be accessed through, our website is not part of, and is not incorporated into, this Reoffer Prospectus.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documents, which have been filed by the Company with the Commission, are hereby incorporated by reference into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of which this Reoffer Prospectus forms a part by reference:</w:t>
      </w:r>
    </w:p>
    <w:p>
      <w:pPr>
        <w:spacing w:after="0" w:line="110" w:lineRule="exact"/>
        <w:rPr>
          <w:sz w:val="20"/>
          <w:szCs w:val="20"/>
          <w:color w:val="auto"/>
        </w:rPr>
      </w:pPr>
    </w:p>
    <w:p>
      <w:pPr>
        <w:ind w:left="520" w:hanging="520"/>
        <w:spacing w:after="0"/>
        <w:tabs>
          <w:tab w:leader="none" w:pos="5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prospectus filed with the Commission under Rule </w:t>
      </w:r>
      <w:hyperlink r:id="rId24">
        <w:r>
          <w:rPr>
            <w:rFonts w:ascii="Times New Roman" w:cs="Times New Roman" w:eastAsia="Times New Roman" w:hAnsi="Times New Roman"/>
            <w:sz w:val="17"/>
            <w:szCs w:val="17"/>
            <w:u w:val="single" w:color="auto"/>
            <w:color w:val="0000EE"/>
          </w:rPr>
          <w:t>424(b)(3)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of the Securities Act on August 13, 2025;</w:t>
      </w:r>
    </w:p>
    <w:p>
      <w:pPr>
        <w:spacing w:after="0" w:line="128" w:lineRule="exact"/>
        <w:rPr>
          <w:rFonts w:ascii="Times New Roman" w:cs="Times New Roman" w:eastAsia="Times New Roman" w:hAnsi="Times New Roman"/>
          <w:sz w:val="17"/>
          <w:szCs w:val="17"/>
          <w:color w:val="auto"/>
        </w:rPr>
      </w:pPr>
    </w:p>
    <w:p>
      <w:pPr>
        <w:ind w:left="520" w:right="160" w:hanging="520"/>
        <w:spacing w:after="0" w:line="291" w:lineRule="auto"/>
        <w:tabs>
          <w:tab w:leader="none" w:pos="5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Quarterly Report on </w:t>
      </w:r>
      <w:hyperlink r:id="rId25">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quarter ended September 30, 2025, filed with the Commission on November 12, 2025;</w:t>
      </w:r>
    </w:p>
    <w:p>
      <w:pPr>
        <w:spacing w:after="0" w:line="56" w:lineRule="exact"/>
        <w:rPr>
          <w:rFonts w:ascii="Times New Roman" w:cs="Times New Roman" w:eastAsia="Times New Roman" w:hAnsi="Times New Roman"/>
          <w:sz w:val="17"/>
          <w:szCs w:val="17"/>
          <w:color w:val="auto"/>
        </w:rPr>
      </w:pPr>
    </w:p>
    <w:p>
      <w:pPr>
        <w:ind w:left="520" w:right="240" w:hanging="520"/>
        <w:spacing w:after="0" w:line="273" w:lineRule="auto"/>
        <w:tabs>
          <w:tab w:leader="none" w:pos="520" w:val="left"/>
        </w:tabs>
        <w:numPr>
          <w:ilvl w:val="0"/>
          <w:numId w:val="1"/>
        </w:numPr>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auto"/>
          </w:rPr>
          <w:t xml:space="preserve">The Registrant’s Current Reports on Form 8-K filed with the Commission on </w:t>
        </w:r>
        <w:r>
          <w:rPr>
            <w:rFonts w:ascii="Times New Roman" w:cs="Times New Roman" w:eastAsia="Times New Roman" w:hAnsi="Times New Roman"/>
            <w:sz w:val="17"/>
            <w:szCs w:val="17"/>
            <w:u w:val="single" w:color="auto"/>
            <w:color w:val="0000EE"/>
          </w:rPr>
          <w:t>January 8,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11,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12,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April 9,</w:t>
        </w:r>
      </w:hyperlink>
      <w:r>
        <w:rPr>
          <w:rFonts w:ascii="Times New Roman" w:cs="Times New Roman" w:eastAsia="Times New Roman" w:hAnsi="Times New Roman"/>
          <w:sz w:val="17"/>
          <w:szCs w:val="17"/>
          <w:color w:val="auto"/>
        </w:rPr>
        <w:t xml:space="preserve"> </w:t>
      </w:r>
      <w:hyperlink r:id="rId26">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7">
        <w:r>
          <w:rPr>
            <w:rFonts w:ascii="Times New Roman" w:cs="Times New Roman" w:eastAsia="Times New Roman" w:hAnsi="Times New Roman"/>
            <w:sz w:val="17"/>
            <w:szCs w:val="17"/>
            <w:u w:val="single" w:color="auto"/>
            <w:color w:val="0000EE"/>
          </w:rPr>
          <w:t>April 16,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8">
        <w:r>
          <w:rPr>
            <w:rFonts w:ascii="Times New Roman" w:cs="Times New Roman" w:eastAsia="Times New Roman" w:hAnsi="Times New Roman"/>
            <w:sz w:val="17"/>
            <w:szCs w:val="17"/>
            <w:u w:val="single" w:color="auto"/>
            <w:color w:val="0000EE"/>
          </w:rPr>
          <w:t>April 22,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9">
        <w:r>
          <w:rPr>
            <w:rFonts w:ascii="Times New Roman" w:cs="Times New Roman" w:eastAsia="Times New Roman" w:hAnsi="Times New Roman"/>
            <w:sz w:val="17"/>
            <w:szCs w:val="17"/>
            <w:u w:val="single" w:color="auto"/>
            <w:color w:val="0000EE"/>
          </w:rPr>
          <w:t>May 12,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0">
        <w:r>
          <w:rPr>
            <w:rFonts w:ascii="Times New Roman" w:cs="Times New Roman" w:eastAsia="Times New Roman" w:hAnsi="Times New Roman"/>
            <w:sz w:val="17"/>
            <w:szCs w:val="17"/>
            <w:u w:val="single" w:color="auto"/>
            <w:color w:val="0000EE"/>
          </w:rPr>
          <w:t>June 12,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1">
        <w:r>
          <w:rPr>
            <w:rFonts w:ascii="Times New Roman" w:cs="Times New Roman" w:eastAsia="Times New Roman" w:hAnsi="Times New Roman"/>
            <w:sz w:val="17"/>
            <w:szCs w:val="17"/>
            <w:u w:val="single" w:color="auto"/>
            <w:color w:val="0000EE"/>
          </w:rPr>
          <w:t>July 11,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2">
        <w:r>
          <w:rPr>
            <w:rFonts w:ascii="Times New Roman" w:cs="Times New Roman" w:eastAsia="Times New Roman" w:hAnsi="Times New Roman"/>
            <w:sz w:val="17"/>
            <w:szCs w:val="17"/>
            <w:u w:val="single" w:color="auto"/>
            <w:color w:val="0000EE"/>
          </w:rPr>
          <w:t>July 28,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3">
        <w:r>
          <w:rPr>
            <w:rFonts w:ascii="Times New Roman" w:cs="Times New Roman" w:eastAsia="Times New Roman" w:hAnsi="Times New Roman"/>
            <w:sz w:val="17"/>
            <w:szCs w:val="17"/>
            <w:u w:val="single" w:color="auto"/>
            <w:color w:val="0000EE"/>
          </w:rPr>
          <w:t>August 11,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4">
        <w:r>
          <w:rPr>
            <w:rFonts w:ascii="Times New Roman" w:cs="Times New Roman" w:eastAsia="Times New Roman" w:hAnsi="Times New Roman"/>
            <w:sz w:val="17"/>
            <w:szCs w:val="17"/>
            <w:u w:val="single" w:color="auto"/>
            <w:color w:val="0000EE"/>
          </w:rPr>
          <w:t>August 22, 2025</w:t>
        </w:r>
      </w:hyperlink>
      <w:hyperlink r:id="rId26">
        <w:r>
          <w:rPr>
            <w:rFonts w:ascii="Times New Roman" w:cs="Times New Roman" w:eastAsia="Times New Roman" w:hAnsi="Times New Roman"/>
            <w:sz w:val="17"/>
            <w:szCs w:val="17"/>
            <w:color w:val="000000"/>
          </w:rPr>
          <w:t>,</w:t>
        </w:r>
      </w:hyperlink>
      <w:r>
        <w:rPr>
          <w:rFonts w:ascii="Times New Roman" w:cs="Times New Roman" w:eastAsia="Times New Roman" w:hAnsi="Times New Roman"/>
          <w:sz w:val="17"/>
          <w:szCs w:val="17"/>
          <w:color w:val="0000EE"/>
        </w:rPr>
        <w:t xml:space="preserve"> </w:t>
      </w:r>
      <w:hyperlink r:id="rId35">
        <w:r>
          <w:rPr>
            <w:rFonts w:ascii="Times New Roman" w:cs="Times New Roman" w:eastAsia="Times New Roman" w:hAnsi="Times New Roman"/>
            <w:sz w:val="17"/>
            <w:szCs w:val="17"/>
            <w:u w:val="single" w:color="auto"/>
            <w:color w:val="0000EE"/>
          </w:rPr>
          <w:t>September 4,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6">
        <w:r>
          <w:rPr>
            <w:rFonts w:ascii="Times New Roman" w:cs="Times New Roman" w:eastAsia="Times New Roman" w:hAnsi="Times New Roman"/>
            <w:sz w:val="17"/>
            <w:szCs w:val="17"/>
            <w:u w:val="single" w:color="auto"/>
            <w:color w:val="0000EE"/>
          </w:rPr>
          <w:t xml:space="preserve">September 26, 2025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37">
        <w:r>
          <w:rPr>
            <w:rFonts w:ascii="Times New Roman" w:cs="Times New Roman" w:eastAsia="Times New Roman" w:hAnsi="Times New Roman"/>
            <w:sz w:val="17"/>
            <w:szCs w:val="17"/>
            <w:u w:val="single" w:color="auto"/>
            <w:color w:val="0000EE"/>
          </w:rPr>
          <w:t>December 3,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p>
    <w:p>
      <w:pPr>
        <w:spacing w:after="0" w:line="71" w:lineRule="exact"/>
        <w:rPr>
          <w:rFonts w:ascii="Times New Roman" w:cs="Times New Roman" w:eastAsia="Times New Roman" w:hAnsi="Times New Roman"/>
          <w:sz w:val="17"/>
          <w:szCs w:val="17"/>
          <w:color w:val="0000EE"/>
        </w:rPr>
      </w:pPr>
    </w:p>
    <w:p>
      <w:pPr>
        <w:ind w:left="520" w:right="40" w:hanging="520"/>
        <w:spacing w:after="0" w:line="266" w:lineRule="auto"/>
        <w:tabs>
          <w:tab w:leader="none" w:pos="520" w:val="left"/>
        </w:tabs>
        <w:numPr>
          <w:ilvl w:val="0"/>
          <w:numId w:val="1"/>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description of the Registrant’s Common Stock contained in Exhibit 4.1 to the Registrant’s Current Report on Form 8-K filed with the Commission on December 3, 2025, which updates the description of the Registrant’s Common Stock contained in the Registration Statement on </w:t>
      </w:r>
      <w:hyperlink r:id="rId38">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(File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No. 001-41351) filed with the Commission on April 6, 2022, pursuant to Section 12(b) of the Exchange Act, and any</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amendments or reports filed for the purpose of updating, amending, or otherwise modifying such description.</w:t>
      </w:r>
    </w:p>
    <w:p>
      <w:pPr>
        <w:spacing w:after="0" w:line="105" w:lineRule="exact"/>
        <w:rPr>
          <w:rFonts w:ascii="Times New Roman" w:cs="Times New Roman" w:eastAsia="Times New Roman" w:hAnsi="Times New Roman"/>
          <w:sz w:val="17"/>
          <w:szCs w:val="17"/>
          <w:color w:val="0000EE"/>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560"/>
          </w:cols>
          <w:pgMar w:left="660" w:top="262" w:right="679" w:bottom="1440" w:gutter="0" w:footer="0" w:header="0"/>
        </w:sectPr>
      </w:pPr>
    </w:p>
    <w:bookmarkStart w:id="7" w:name="page8"/>
    <w:bookmarkEnd w:id="7"/>
    <w:p>
      <w:pPr>
        <w:ind w:right="60" w:firstLine="422"/>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All other reports and other documents subsequently filed by the Registrant pursuant to Sections 13(a), 13(c), 14 or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of this Registration Statement from the date of the filing of such reports and documents, except as to any portion of any future annual or quarterly report to stockholders or document or current report furnished under Items 2.02 or 7.01 of Form 8-K that is not deemed filed under such provisions.</w:t>
      </w:r>
    </w:p>
    <w:p>
      <w:pPr>
        <w:spacing w:after="0" w:line="172" w:lineRule="exact"/>
        <w:rPr>
          <w:sz w:val="20"/>
          <w:szCs w:val="20"/>
          <w:color w:val="auto"/>
        </w:rPr>
      </w:pPr>
    </w:p>
    <w:p>
      <w:pPr>
        <w:ind w:firstLine="422"/>
        <w:spacing w:after="0" w:line="266" w:lineRule="auto"/>
        <w:rPr>
          <w:sz w:val="20"/>
          <w:szCs w:val="20"/>
          <w:color w:val="auto"/>
        </w:rPr>
      </w:pPr>
      <w:r>
        <w:rPr>
          <w:rFonts w:ascii="Times New Roman" w:cs="Times New Roman" w:eastAsia="Times New Roman" w:hAnsi="Times New Roman"/>
          <w:sz w:val="17"/>
          <w:szCs w:val="17"/>
          <w:color w:val="auto"/>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9" w:lineRule="exact"/>
        <w:rPr>
          <w:sz w:val="20"/>
          <w:szCs w:val="20"/>
          <w:color w:val="auto"/>
        </w:rPr>
      </w:pPr>
    </w:p>
    <w:p>
      <w:pPr>
        <w:ind w:right="460" w:firstLine="422"/>
        <w:spacing w:after="0" w:line="273" w:lineRule="auto"/>
        <w:rPr>
          <w:sz w:val="20"/>
          <w:szCs w:val="20"/>
          <w:color w:val="auto"/>
        </w:rPr>
      </w:pPr>
      <w:r>
        <w:rPr>
          <w:rFonts w:ascii="Times New Roman" w:cs="Times New Roman" w:eastAsia="Times New Roman" w:hAnsi="Times New Roman"/>
          <w:sz w:val="17"/>
          <w:szCs w:val="17"/>
          <w:color w:val="auto"/>
        </w:rPr>
        <w:t>You should rely only on the information provided or incorporated by reference in this Registration Statement or any related prospectus. The Registrant has not authorized anyone to provide you with different information. You should not assume that the information in this Registration Statement or any related prospectus is accurate as of any date other than the date on the front of the document.</w:t>
      </w:r>
    </w:p>
    <w:p>
      <w:pPr>
        <w:spacing w:after="0" w:line="162" w:lineRule="exact"/>
        <w:rPr>
          <w:sz w:val="20"/>
          <w:szCs w:val="20"/>
          <w:color w:val="auto"/>
        </w:rPr>
      </w:pPr>
    </w:p>
    <w:p>
      <w:pPr>
        <w:jc w:val="both"/>
        <w:ind w:right="120" w:firstLine="422"/>
        <w:spacing w:after="0" w:line="273" w:lineRule="auto"/>
        <w:rPr>
          <w:sz w:val="20"/>
          <w:szCs w:val="20"/>
          <w:color w:val="auto"/>
        </w:rPr>
      </w:pPr>
      <w:r>
        <w:rPr>
          <w:rFonts w:ascii="Times New Roman" w:cs="Times New Roman" w:eastAsia="Times New Roman" w:hAnsi="Times New Roman"/>
          <w:sz w:val="17"/>
          <w:szCs w:val="17"/>
          <w:color w:val="auto"/>
        </w:rPr>
        <w:t>You may contact the Registrant in writing or orally to request copies of the above-referenced filings, without charge (excluding exhibits to such documents unless such exhibits are specifically incorporated by reference into the information incorporated into this Registration Statement). Requests for such information should be directed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Semnur Pharmaceuticals,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960 San Antonio Road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Palo Alto, CA 94303</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Attn: Chief Executive Officer &amp; President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40"/>
          </w:cols>
          <w:pgMar w:left="660" w:top="264" w:right="6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CAUTIONARY NOTE REGARDING FORWARD-LOOKING STATEMENTS</w:t>
      </w:r>
    </w:p>
    <w:p>
      <w:pPr>
        <w:spacing w:after="0" w:line="221" w:lineRule="exact"/>
        <w:rPr>
          <w:sz w:val="20"/>
          <w:szCs w:val="20"/>
          <w:color w:val="auto"/>
        </w:rPr>
      </w:pPr>
    </w:p>
    <w:p>
      <w:pPr>
        <w:ind w:right="240" w:firstLine="422"/>
        <w:spacing w:after="0" w:line="260" w:lineRule="auto"/>
        <w:rPr>
          <w:sz w:val="20"/>
          <w:szCs w:val="20"/>
          <w:color w:val="auto"/>
        </w:rPr>
      </w:pPr>
      <w:r>
        <w:rPr>
          <w:rFonts w:ascii="Times New Roman" w:cs="Times New Roman" w:eastAsia="Times New Roman" w:hAnsi="Times New Roman"/>
          <w:sz w:val="17"/>
          <w:szCs w:val="17"/>
          <w:color w:val="auto"/>
        </w:rPr>
        <w:t>Certain statements contained in this Reoffer Prospectus and the documents incorporated herein by reference may constitute “forward-looking statements” for purposes of federal securities laws. Such statements can be identified by the fact that they do not relate strictly to historical or current facts.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w:t>
      </w:r>
    </w:p>
    <w:p>
      <w:pPr>
        <w:spacing w:after="0" w:line="175" w:lineRule="exact"/>
        <w:rPr>
          <w:sz w:val="20"/>
          <w:szCs w:val="20"/>
          <w:color w:val="auto"/>
        </w:rPr>
      </w:pPr>
    </w:p>
    <w:p>
      <w:pPr>
        <w:ind w:right="20" w:firstLine="422"/>
        <w:spacing w:after="0" w:line="266"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prospectus and our managements’ current expectations, forecasts and assumptions, and involve a number of judgments, known and unknown risks and uncertainties and other factors, many of which are outside the control of the Company and our directors, officers and affiliates. There can be no assurance that future developments will be those that have been anticipated. Accordingly, forward-looking statements should not be relied upon as representing our views as of any subsequent date.</w:t>
      </w:r>
    </w:p>
    <w:p>
      <w:pPr>
        <w:spacing w:after="0" w:line="169" w:lineRule="exact"/>
        <w:rPr>
          <w:sz w:val="20"/>
          <w:szCs w:val="20"/>
          <w:color w:val="auto"/>
        </w:rPr>
      </w:pPr>
    </w:p>
    <w:p>
      <w:pPr>
        <w:ind w:firstLine="422"/>
        <w:spacing w:after="0" w:line="273" w:lineRule="auto"/>
        <w:rPr>
          <w:sz w:val="20"/>
          <w:szCs w:val="20"/>
          <w:color w:val="auto"/>
        </w:rPr>
      </w:pPr>
      <w:r>
        <w:rPr>
          <w:rFonts w:ascii="Times New Roman" w:cs="Times New Roman" w:eastAsia="Times New Roman" w:hAnsi="Times New Roman"/>
          <w:sz w:val="17"/>
          <w:szCs w:val="17"/>
          <w:color w:val="auto"/>
        </w:rPr>
        <w:t>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the section of this prospectus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our periodic filings with the Commission and the following:</w:t>
      </w:r>
    </w:p>
    <w:p>
      <w:pPr>
        <w:spacing w:after="0" w:line="71" w:lineRule="exact"/>
        <w:rPr>
          <w:sz w:val="20"/>
          <w:szCs w:val="20"/>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public securities’ liquidity and trading;</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financing in the future;</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expected use of proceeds from future issuances of equity or convertible debt securities;</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our revenue, costs of revenue and operating expenses;</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anticipated benefits of the Business Combination;</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qualified directors, officers, employees and key personnel;</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effectively in a highly competitive market;</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competition from larger pharmaceutical companies that have greater resources, technology, relationships and/or expertise</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protect and enhance our corporate reputation and brand;</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from future regulatory, judicial and legislative changes in our industry;</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 of any of our product candidates;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40"/>
          </w:cols>
          <w:pgMar w:left="660" w:top="262" w:right="699" w:bottom="1440" w:gutter="0" w:footer="0" w:header="0"/>
        </w:sectPr>
      </w:pPr>
    </w:p>
    <w:bookmarkStart w:id="9" w:name="page10"/>
    <w:bookmarkEnd w:id="9"/>
    <w:p>
      <w:pPr>
        <w:ind w:left="1360" w:hanging="311"/>
        <w:spacing w:after="0"/>
        <w:tabs>
          <w:tab w:leader="none" w:pos="13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our ability to research, discover and develop additional product candidates;</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and manage growth profitably;</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intellectual property protection and not infringe on the rights of others; and</w:t>
      </w:r>
    </w:p>
    <w:p>
      <w:pPr>
        <w:spacing w:after="0" w:line="128"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business plans and strategy.</w:t>
      </w:r>
    </w:p>
    <w:p>
      <w:pPr>
        <w:spacing w:after="0" w:line="219" w:lineRule="exact"/>
        <w:rPr>
          <w:sz w:val="20"/>
          <w:szCs w:val="20"/>
          <w:color w:val="auto"/>
        </w:rPr>
      </w:pPr>
    </w:p>
    <w:p>
      <w:pPr>
        <w:ind w:firstLine="422"/>
        <w:spacing w:after="0" w:line="261" w:lineRule="auto"/>
        <w:rPr>
          <w:sz w:val="20"/>
          <w:szCs w:val="20"/>
          <w:color w:val="auto"/>
        </w:rPr>
      </w:pPr>
      <w:r>
        <w:rPr>
          <w:rFonts w:ascii="Times New Roman" w:cs="Times New Roman" w:eastAsia="Times New Roman" w:hAnsi="Times New Roman"/>
          <w:sz w:val="17"/>
          <w:szCs w:val="17"/>
          <w:color w:val="auto"/>
        </w:rPr>
        <w:t>Should one or more of these risks or uncertainties materialize or should any of the assumptions made by our management prove incorrect, actual results may vary in material respects from those projected in these forward-looking statements and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420"/>
          </w:cols>
          <w:pgMar w:left="660" w:top="264" w:right="81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6498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79945" cy="6498590"/>
                    </a:xfrm>
                    <a:prstGeom prst="rect">
                      <a:avLst/>
                    </a:prstGeom>
                    <a:noFill/>
                  </pic:spPr>
                </pic:pic>
              </a:graphicData>
            </a:graphic>
          </wp:anchor>
        </w:drawing>
        <w:t>SUMMARY OF THIS REOFFER PROSPECTUS</w:t>
      </w:r>
    </w:p>
    <w:p>
      <w:pPr>
        <w:spacing w:after="0" w:line="219" w:lineRule="exact"/>
        <w:rPr>
          <w:sz w:val="20"/>
          <w:szCs w:val="20"/>
          <w:color w:val="auto"/>
        </w:rPr>
      </w:pPr>
    </w:p>
    <w:p>
      <w:pPr>
        <w:ind w:right="200" w:firstLine="408"/>
        <w:spacing w:after="0" w:line="267" w:lineRule="auto"/>
        <w:rPr>
          <w:sz w:val="20"/>
          <w:szCs w:val="20"/>
          <w:color w:val="auto"/>
        </w:rPr>
      </w:pPr>
      <w:r>
        <w:rPr>
          <w:rFonts w:ascii="Times New Roman" w:cs="Times New Roman" w:eastAsia="Times New Roman" w:hAnsi="Times New Roman"/>
          <w:sz w:val="17"/>
          <w:szCs w:val="17"/>
          <w:i w:val="1"/>
          <w:iCs w:val="1"/>
          <w:color w:val="auto"/>
        </w:rPr>
        <w:t>This Reoffer Prospectus is part of the Registration Statement that we filed with the Commission. We have provided to you in this Reoffer Prospectus a general description of the Selling Stockholders and the distribution of the shares. To the extent there is a conflict between the information contained in this Reoffer Prospectus and any of our subsequent filings with the Commission, the information in the document having the later date shall modify or supersede the earlier statement.</w:t>
      </w:r>
    </w:p>
    <w:p>
      <w:pPr>
        <w:spacing w:after="0" w:line="270" w:lineRule="exact"/>
        <w:rPr>
          <w:sz w:val="20"/>
          <w:szCs w:val="20"/>
          <w:color w:val="auto"/>
        </w:rPr>
      </w:pPr>
    </w:p>
    <w:p>
      <w:pPr>
        <w:ind w:right="160" w:firstLine="408"/>
        <w:spacing w:after="0" w:line="267" w:lineRule="auto"/>
        <w:rPr>
          <w:sz w:val="20"/>
          <w:szCs w:val="20"/>
          <w:color w:val="auto"/>
        </w:rPr>
      </w:pPr>
      <w:r>
        <w:rPr>
          <w:rFonts w:ascii="Times New Roman" w:cs="Times New Roman" w:eastAsia="Times New Roman" w:hAnsi="Times New Roman"/>
          <w:sz w:val="17"/>
          <w:szCs w:val="17"/>
          <w:i w:val="1"/>
          <w:iCs w:val="1"/>
          <w:color w:val="auto"/>
        </w:rPr>
        <w:t>As permitted by the rules and regulations of the Commission, the Registration Statement of which this Reoffer Prospectus forms a part includes additional information not contained in this Reoffer Prospectus. You may read the Registration Statement and the other reports we file with the Commission at the Commission’s website or at our website as described above under the heading “Incorporation of Certain Information by Reference.”</w:t>
      </w:r>
    </w:p>
    <w:p>
      <w:pPr>
        <w:spacing w:after="0" w:line="270" w:lineRule="exact"/>
        <w:rPr>
          <w:sz w:val="20"/>
          <w:szCs w:val="20"/>
          <w:color w:val="auto"/>
        </w:rPr>
      </w:pPr>
    </w:p>
    <w:p>
      <w:pPr>
        <w:ind w:right="40" w:firstLine="408"/>
        <w:spacing w:after="0" w:line="267" w:lineRule="auto"/>
        <w:rPr>
          <w:sz w:val="20"/>
          <w:szCs w:val="20"/>
          <w:color w:val="auto"/>
        </w:rPr>
      </w:pPr>
      <w:r>
        <w:rPr>
          <w:rFonts w:ascii="Times New Roman" w:cs="Times New Roman" w:eastAsia="Times New Roman" w:hAnsi="Times New Roman"/>
          <w:sz w:val="17"/>
          <w:szCs w:val="17"/>
          <w:i w:val="1"/>
          <w:iCs w:val="1"/>
          <w:color w:val="auto"/>
        </w:rPr>
        <w:t>Unless otherwise mentioned or unless the context requires otherwise, all references in this Reoffer Prospectus to “Semnur”, “the Company”, “the Registrant”, “we”, “us”, “our” or similar references mean Semnur Pharmaceuticals, Inc., formerly known as Denali Capital Acquisition Corp. (“Denali”), and its consolidated subsidiaries. References to “Legacy Semnur” refer to the private Delaware corporation that is now our wholly owned subsidiary, named Semnur, Inc. (formerly known as Semnur Pharmaceuticals, Inc.).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Semnur Pharmaceuticals, Inc.</w:t>
      </w:r>
    </w:p>
    <w:p>
      <w:pPr>
        <w:spacing w:after="0" w:line="117" w:lineRule="exact"/>
        <w:rPr>
          <w:sz w:val="20"/>
          <w:szCs w:val="20"/>
          <w:color w:val="auto"/>
        </w:rPr>
      </w:pPr>
    </w:p>
    <w:p>
      <w:pPr>
        <w:ind w:right="40" w:firstLine="408"/>
        <w:spacing w:after="0" w:line="273" w:lineRule="auto"/>
        <w:rPr>
          <w:sz w:val="20"/>
          <w:szCs w:val="20"/>
          <w:color w:val="auto"/>
        </w:rPr>
      </w:pPr>
      <w:r>
        <w:rPr>
          <w:rFonts w:ascii="Times New Roman" w:cs="Times New Roman" w:eastAsia="Times New Roman" w:hAnsi="Times New Roman"/>
          <w:sz w:val="17"/>
          <w:szCs w:val="17"/>
          <w:color w:val="auto"/>
        </w:rPr>
        <w:t>On September 22, 2025 (the “Closing Date”), Denali consummated the previously announced Business Combination pursuant to the terms of the Merger Agreement, by and among Denali, Denali Merger Sub Inc., a Delaware corporation and wholly owned subsidiary of Denali (“Merger Sub”), and Legacy Semnur.</w:t>
      </w:r>
    </w:p>
    <w:p>
      <w:pPr>
        <w:spacing w:after="0" w:line="162" w:lineRule="exact"/>
        <w:rPr>
          <w:sz w:val="20"/>
          <w:szCs w:val="20"/>
          <w:color w:val="auto"/>
        </w:rPr>
      </w:pPr>
    </w:p>
    <w:p>
      <w:pPr>
        <w:ind w:right="80" w:firstLine="408"/>
        <w:spacing w:after="0" w:line="261" w:lineRule="auto"/>
        <w:rPr>
          <w:sz w:val="20"/>
          <w:szCs w:val="20"/>
          <w:color w:val="auto"/>
        </w:rPr>
      </w:pPr>
      <w:r>
        <w:rPr>
          <w:rFonts w:ascii="Times New Roman" w:cs="Times New Roman" w:eastAsia="Times New Roman" w:hAnsi="Times New Roman"/>
          <w:sz w:val="17"/>
          <w:szCs w:val="17"/>
          <w:color w:val="auto"/>
        </w:rPr>
        <w:t>Pursuant to the Merger Agreement, (i) prior to the closing, Denali changed its jurisdiction of incorporation by deregistrating as a Cayman Islands exempted company and continuing and domesticating as a corporation incorporated under the laws of the State of Delaware (the “Domestication”) and (ii) at the closing, and following the Domestication, Merger Sub merged with and into Legacy Semnur (the “Merger”), with Legacy Semnur as the surviving company in the Merger, and, after giving effect to such Merger, Legacy Semnur became a wholly owned subsidiary of Denali. The Merger was approved by Denali’s shareholders at a meeting held on September 3, 2025. In connection with the Business Combination, Denali changed its name from Denali Capital Acquisition Corp. to “Semnur Pharmaceuticals, Inc.”</w:t>
      </w:r>
    </w:p>
    <w:p>
      <w:pPr>
        <w:spacing w:after="0" w:line="175" w:lineRule="exact"/>
        <w:rPr>
          <w:sz w:val="20"/>
          <w:szCs w:val="20"/>
          <w:color w:val="auto"/>
        </w:rPr>
      </w:pPr>
    </w:p>
    <w:p>
      <w:pPr>
        <w:ind w:firstLine="408"/>
        <w:spacing w:after="0" w:line="244" w:lineRule="auto"/>
        <w:rPr>
          <w:sz w:val="20"/>
          <w:szCs w:val="20"/>
          <w:color w:val="auto"/>
        </w:rPr>
      </w:pPr>
      <w:r>
        <w:rPr>
          <w:rFonts w:ascii="Times New Roman" w:cs="Times New Roman" w:eastAsia="Times New Roman" w:hAnsi="Times New Roman"/>
          <w:sz w:val="17"/>
          <w:szCs w:val="17"/>
          <w:color w:val="auto"/>
        </w:rPr>
        <w:t>We are a late-stage clinical biopharmaceutical company focused on developing and commercializing innovative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(10 mg, dexamethasone sodium phosphate viscous gel) (“SP-102” or “SEMDEXA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if approved, has the potential to become the first U.S. Food and Drug Administration (“FDA”) approved non-opioid novel injectable corticosteroid gel formulation for patients with moderate to severe lumbosacral radicular pain (“LRP”) (also known as sciatica), containing no preservatives, surfactants, solvents, or particulates and is expected to be available in a pre-filled syringe formulation following approval by the FDA.</w:t>
      </w:r>
    </w:p>
    <w:p>
      <w:pPr>
        <w:spacing w:after="0" w:line="190" w:lineRule="exact"/>
        <w:rPr>
          <w:sz w:val="20"/>
          <w:szCs w:val="20"/>
          <w:color w:val="auto"/>
        </w:rPr>
      </w:pPr>
    </w:p>
    <w:p>
      <w:pPr>
        <w:ind w:right="60" w:firstLine="408"/>
        <w:spacing w:after="0" w:line="261" w:lineRule="auto"/>
        <w:rPr>
          <w:sz w:val="20"/>
          <w:szCs w:val="20"/>
          <w:color w:val="auto"/>
        </w:rPr>
      </w:pPr>
      <w:r>
        <w:rPr>
          <w:rFonts w:ascii="Times New Roman" w:cs="Times New Roman" w:eastAsia="Times New Roman" w:hAnsi="Times New Roman"/>
          <w:sz w:val="17"/>
          <w:szCs w:val="17"/>
          <w:color w:val="auto"/>
        </w:rPr>
        <w:t>We are developing SP-102 to be an injectable viscous gel formulation of a widely used corticosteroid designed to address the serious risks posed by off-label epidural steroid injections (“ESI”), which are administered over 12 million times annually in the United States. SP-102 has been granted fast track designation by the FDA and, if approved, could become the only FDA-approved ESI for the treatment of sciatica. Although such designation has been granted, it may not lead to a faster development or regulatory review process and such designation does not increase the likelihood that SP-102 will receive marketing approval. According to a report by Decision Resources Group published in May 2017, it was estimated that over 4.8 million patients would suffer from sciatica in the United States in 2024.</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200"/>
          </w:cols>
          <w:pgMar w:left="840" w:top="443" w:right="859" w:bottom="1440" w:gutter="0" w:footer="0" w:header="0"/>
        </w:sectPr>
      </w:pPr>
    </w:p>
    <w:bookmarkStart w:id="11" w:name="page12"/>
    <w:bookmarkEnd w:id="11"/>
    <w:p>
      <w:pPr>
        <w:ind w:left="5" w:right="240" w:firstLine="408"/>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709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79945" cy="5709285"/>
                    </a:xfrm>
                    <a:prstGeom prst="rect">
                      <a:avLst/>
                    </a:prstGeom>
                    <a:noFill/>
                  </pic:spPr>
                </pic:pic>
              </a:graphicData>
            </a:graphic>
          </wp:anchor>
        </w:drawing>
        <w:t>Legacy Semnur was founded in 2013 and we have invested substantial efforts and financial resources on building our intellectual property portfolio and infrastructure. We have conducted phospholipidosis and toxicology studies, including a Phase 1 pharmacokinetic bridging study, Phase 2 repeat dose study, a pivotal Phase 3 study and the second Phase 3 study initiated in September 2025. We expect to continue to make investments in research and development, clinical trials and regulatory affairs to develop our product candidate, SP-102.</w:t>
      </w:r>
    </w:p>
    <w:p>
      <w:pPr>
        <w:spacing w:after="0" w:line="169" w:lineRule="exact"/>
        <w:rPr>
          <w:sz w:val="20"/>
          <w:szCs w:val="20"/>
          <w:color w:val="auto"/>
        </w:rPr>
      </w:pPr>
    </w:p>
    <w:p>
      <w:pPr>
        <w:ind w:left="5" w:right="140" w:firstLine="408"/>
        <w:spacing w:after="0" w:line="241" w:lineRule="auto"/>
        <w:rPr>
          <w:sz w:val="20"/>
          <w:szCs w:val="20"/>
          <w:color w:val="auto"/>
        </w:rPr>
      </w:pPr>
      <w:r>
        <w:rPr>
          <w:rFonts w:ascii="Times New Roman" w:cs="Times New Roman" w:eastAsia="Times New Roman" w:hAnsi="Times New Roman"/>
          <w:sz w:val="17"/>
          <w:szCs w:val="17"/>
          <w:color w:val="auto"/>
        </w:rPr>
        <w:t>We have completed a pivotal Phase 3 study with final results received in March 2022, which results reflected achievement of primary and secondary endpoints, with SP-102 treatment decreasing pain intensity for over a month in sciatica patients and resulting in statistically significant and clinically meaningful improvement in the disability index score while maintaining tolerability comparable to placebo. The Phase 3 study results were published in PAIN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Journal in June 2024, which is the leading journal devoted to pain medicine and research. This Phase 3 study represents a potential significant improvement in treatment of adult patients with sciatica, who struggle with the clinical consequences of no currently FDA approved therapies being available, suboptimal formulations of corticosteroids used off-label and/or excess pain and disability. We initiated a second Phase 3 study in September 2025.</w:t>
      </w:r>
    </w:p>
    <w:p>
      <w:pPr>
        <w:spacing w:after="0" w:line="191" w:lineRule="exact"/>
        <w:rPr>
          <w:sz w:val="20"/>
          <w:szCs w:val="20"/>
          <w:color w:val="auto"/>
        </w:rPr>
      </w:pPr>
    </w:p>
    <w:p>
      <w:pPr>
        <w:ind w:left="5" w:right="20" w:firstLine="408"/>
        <w:spacing w:after="0" w:line="263" w:lineRule="auto"/>
        <w:rPr>
          <w:sz w:val="20"/>
          <w:szCs w:val="20"/>
          <w:color w:val="auto"/>
        </w:rPr>
      </w:pPr>
      <w:r>
        <w:rPr>
          <w:rFonts w:ascii="Times New Roman" w:cs="Times New Roman" w:eastAsia="Times New Roman" w:hAnsi="Times New Roman"/>
          <w:sz w:val="17"/>
          <w:szCs w:val="17"/>
          <w:color w:val="auto"/>
        </w:rPr>
        <w:t>Our guiding principle has always been and remains a patient-first approach, which drives its mission to meet the increasing global demand for more effective and safer non-opioid pain management solutions. Through rigorous research and development, we believe Semnur is on the cusp of establishing itself as the preeminent name in commercial non-opioid pain management, specifically targeting the unmet needs in both acute and chronic pain sectors with its innovative and leading therapies. We believe that Semnur has made substantial progress in demonstrating the rapid onset and enhanced tolerability of its product candidate.</w:t>
      </w:r>
    </w:p>
    <w:p>
      <w:pPr>
        <w:spacing w:after="0" w:line="27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Principal Executive Offices and Additional Information</w:t>
      </w:r>
    </w:p>
    <w:p>
      <w:pPr>
        <w:spacing w:after="0" w:line="11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auto"/>
        </w:rPr>
        <w:t>Our principal executive offices are located at 960 San Antonio Road, Palo Alto, California 94303, and our telephone number is</w:t>
      </w:r>
    </w:p>
    <w:p>
      <w:pPr>
        <w:spacing w:after="0" w:line="30" w:lineRule="exact"/>
        <w:rPr>
          <w:sz w:val="20"/>
          <w:szCs w:val="20"/>
          <w:color w:val="auto"/>
        </w:rPr>
      </w:pPr>
    </w:p>
    <w:p>
      <w:pPr>
        <w:ind w:left="5" w:right="20" w:hanging="5"/>
        <w:spacing w:after="0" w:line="257" w:lineRule="auto"/>
        <w:tabs>
          <w:tab w:leader="none" w:pos="42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516-4310. Our website address is </w:t>
      </w:r>
      <w:r>
        <w:rPr>
          <w:rFonts w:ascii="Times New Roman" w:cs="Times New Roman" w:eastAsia="Times New Roman" w:hAnsi="Times New Roman"/>
          <w:sz w:val="17"/>
          <w:szCs w:val="17"/>
          <w:i w:val="1"/>
          <w:iCs w:val="1"/>
          <w:color w:val="auto"/>
        </w:rPr>
        <w:t>www.semnurpharma.com</w:t>
      </w:r>
      <w:r>
        <w:rPr>
          <w:rFonts w:ascii="Times New Roman" w:cs="Times New Roman" w:eastAsia="Times New Roman" w:hAnsi="Times New Roman"/>
          <w:sz w:val="17"/>
          <w:szCs w:val="17"/>
          <w:color w:val="auto"/>
        </w:rPr>
        <w:t xml:space="preserve">. Any information contained on, or that can be accessed through, our website is not incorporated by reference into, nor is it in any way part of this Reoffer Prospectus and should not be relied upon in connection with making any decision with respect to an investment in our securities. We are required to file annual, quarterly and current reports, proxy statements and other information with the Commission. You may obtain any of the documents filed by us with the Commission at no cost from the Commission’s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28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17" w:lineRule="exact"/>
        <w:rPr>
          <w:sz w:val="20"/>
          <w:szCs w:val="20"/>
          <w:color w:val="auto"/>
        </w:rPr>
      </w:pPr>
    </w:p>
    <w:p>
      <w:pPr>
        <w:ind w:left="5" w:firstLine="408"/>
        <w:spacing w:after="0" w:line="258" w:lineRule="auto"/>
        <w:rPr>
          <w:sz w:val="20"/>
          <w:szCs w:val="20"/>
          <w:color w:val="auto"/>
        </w:rPr>
      </w:pPr>
      <w:r>
        <w:rPr>
          <w:rFonts w:ascii="Times New Roman" w:cs="Times New Roman" w:eastAsia="Times New Roman" w:hAnsi="Times New Roman"/>
          <w:sz w:val="17"/>
          <w:szCs w:val="17"/>
          <w:color w:val="auto"/>
        </w:rPr>
        <w:t>This Reoffer Prospectus relates to the public offering, which is not being underwritten, by the Selling Stockholders listed in this Reoffer Prospectus, of up to 46,250,000 shares of Common Stock issuable to the Selling Stockholders pursuant to awards and obligations assumed and/or granted under the Plan. Following the completion of the Business Combination, no further awards will be granted under the Plan, however the Plan will continue to govern the outstanding stock option awards granted thereunder. Subject to the satisfaction of any conditions to vesting of the shares of Common Stock offered hereby (or the exercise of the applicable stock options) pursuant to the terms of the relevant award agreements, the Selling Stockholders may from time to time sell, transfer or otherwise dispose of any or all of the shares of Common Stock covered by this Reoffer Prospectus through underwriters or dealers, directly to purchasers (or a single purchaser) or through broker-dealers or agents. We will not receive any of the proceeds from the sale of the shares of Common Stock by the Selling Stockholders. The Selling Stockholders will bear all sales commissions and similar expenses in connection with this offering. We will bear all expenses of registration incurred in connection with this offering, as well as any other expenses incurred by us in connection with the registration and offering that are not borne by the Selling Stockholders.</w:t>
      </w:r>
    </w:p>
    <w:p>
      <w:pPr>
        <w:spacing w:after="0" w:line="200" w:lineRule="exact"/>
        <w:rPr>
          <w:sz w:val="20"/>
          <w:szCs w:val="20"/>
          <w:color w:val="auto"/>
        </w:rPr>
      </w:pPr>
    </w:p>
    <w:p>
      <w:pPr>
        <w:spacing w:after="0" w:line="28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205"/>
          </w:cols>
          <w:pgMar w:left="835" w:top="445" w:right="85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RISK FACTORS</w:t>
      </w:r>
    </w:p>
    <w:p>
      <w:pPr>
        <w:spacing w:after="0" w:line="221" w:lineRule="exact"/>
        <w:rPr>
          <w:sz w:val="20"/>
          <w:szCs w:val="20"/>
          <w:color w:val="auto"/>
        </w:rPr>
      </w:pPr>
    </w:p>
    <w:p>
      <w:pPr>
        <w:ind w:right="20" w:firstLine="422"/>
        <w:spacing w:after="0" w:line="259" w:lineRule="auto"/>
        <w:rPr>
          <w:sz w:val="20"/>
          <w:szCs w:val="20"/>
          <w:color w:val="auto"/>
        </w:rPr>
      </w:pPr>
      <w:r>
        <w:rPr>
          <w:rFonts w:ascii="Times New Roman" w:cs="Times New Roman" w:eastAsia="Times New Roman" w:hAnsi="Times New Roman"/>
          <w:sz w:val="17"/>
          <w:szCs w:val="17"/>
          <w:color w:val="auto"/>
        </w:rPr>
        <w:t>Investing in shares of our Common Stock involves a high degree of risk. Investors should carefully consider the risks we have described under the heading “Risk Factors” starting on page 9 in our final prospectus filed with the Commission pursuant to Rule 424(b) under the Securities Act on August 13, 2025, in connection with our registration statement on Form S-4 (File No. 333-283019), together with all the other information appearing in or incorporated by reference into this Reoffer Prospectus, before deciding to invest in our Common Stock. If any of the events or developments we have described occur, our business, financial condition, or results of operations could be materially or adversely affected. As a result, the market price of our Common Stock could decline, and investors could lose all or part of their investment. The risks and uncertainties we have described are not the only risks and uncertainties that we face. Additional risks and uncertainties not presently known to us or that we currently deem immaterial may also impair our business operations. The risks we have described also include forward-looking statements, and our actual results may differ substantially from those discussed in these forward-looking statements. See “</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DETERMINATION OF OFFERING PRICE</w:t>
      </w:r>
    </w:p>
    <w:p>
      <w:pPr>
        <w:spacing w:after="0" w:line="221" w:lineRule="exact"/>
        <w:rPr>
          <w:sz w:val="20"/>
          <w:szCs w:val="20"/>
          <w:color w:val="auto"/>
        </w:rPr>
      </w:pPr>
    </w:p>
    <w:p>
      <w:pPr>
        <w:ind w:right="640" w:firstLine="422"/>
        <w:spacing w:after="0" w:line="291" w:lineRule="auto"/>
        <w:rPr>
          <w:sz w:val="20"/>
          <w:szCs w:val="20"/>
          <w:color w:val="auto"/>
        </w:rPr>
      </w:pPr>
      <w:r>
        <w:rPr>
          <w:rFonts w:ascii="Times New Roman" w:cs="Times New Roman" w:eastAsia="Times New Roman" w:hAnsi="Times New Roman"/>
          <w:sz w:val="17"/>
          <w:szCs w:val="17"/>
          <w:color w:val="auto"/>
        </w:rPr>
        <w:t>The Selling Stockholders will determine at what price they may sell the offered shares of Common Stock, and such sales may be made at prevailing market prices or at privately negotiated prices.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below for more information.</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will receive no proceeds from the sale of the shares of Common Stock by the Selling Stockholders.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21" w:lineRule="exact"/>
        <w:rPr>
          <w:sz w:val="20"/>
          <w:szCs w:val="20"/>
          <w:color w:val="auto"/>
        </w:rPr>
      </w:pPr>
    </w:p>
    <w:p>
      <w:pPr>
        <w:ind w:firstLine="422"/>
        <w:spacing w:after="0" w:line="266" w:lineRule="auto"/>
        <w:rPr>
          <w:sz w:val="20"/>
          <w:szCs w:val="20"/>
          <w:color w:val="auto"/>
        </w:rPr>
      </w:pPr>
      <w:r>
        <w:rPr>
          <w:rFonts w:ascii="Times New Roman" w:cs="Times New Roman" w:eastAsia="Times New Roman" w:hAnsi="Times New Roman"/>
          <w:sz w:val="17"/>
          <w:szCs w:val="17"/>
          <w:color w:val="auto"/>
        </w:rPr>
        <w:t>The description of our Common Stock contained in Exhibit 4.1 to our Current Report on Form 8-K filed with the Commission on December 3, 2025, which updates the description of the Registrant’s Common Stock contained in the Registration Statement on Form 8-A (File No. 001-41351) filed with the Commission on April 6, 2022, pursuant to Section 12(b) of the Exchange Act, and any amendments or reports filed for the purpose of updating, amending, or otherwise modifying such description.</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540"/>
          </w:cols>
          <w:pgMar w:left="660" w:top="262" w:right="6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SELLING STOCKHOLDERS</w:t>
      </w:r>
    </w:p>
    <w:p>
      <w:pPr>
        <w:spacing w:after="0" w:line="221" w:lineRule="exact"/>
        <w:rPr>
          <w:sz w:val="20"/>
          <w:szCs w:val="20"/>
          <w:color w:val="auto"/>
        </w:rPr>
      </w:pPr>
    </w:p>
    <w:p>
      <w:pPr>
        <w:ind w:right="100" w:firstLine="422"/>
        <w:spacing w:after="0" w:line="291" w:lineRule="auto"/>
        <w:rPr>
          <w:sz w:val="20"/>
          <w:szCs w:val="20"/>
          <w:color w:val="auto"/>
        </w:rPr>
      </w:pPr>
      <w:r>
        <w:rPr>
          <w:rFonts w:ascii="Times New Roman" w:cs="Times New Roman" w:eastAsia="Times New Roman" w:hAnsi="Times New Roman"/>
          <w:sz w:val="17"/>
          <w:szCs w:val="17"/>
          <w:color w:val="auto"/>
        </w:rPr>
        <w:t>The table below sets forth information concerning the resale of the shares by the Selling Stockholders. We will not receive any proceeds from the resale of the shares by the Selling Stockholders.</w:t>
      </w:r>
    </w:p>
    <w:p>
      <w:pPr>
        <w:spacing w:after="0" w:line="148" w:lineRule="exact"/>
        <w:rPr>
          <w:sz w:val="20"/>
          <w:szCs w:val="20"/>
          <w:color w:val="auto"/>
        </w:rPr>
      </w:pPr>
    </w:p>
    <w:p>
      <w:pPr>
        <w:ind w:right="60" w:firstLine="422"/>
        <w:spacing w:after="0" w:line="261" w:lineRule="auto"/>
        <w:rPr>
          <w:sz w:val="20"/>
          <w:szCs w:val="20"/>
          <w:color w:val="auto"/>
        </w:rPr>
      </w:pPr>
      <w:r>
        <w:rPr>
          <w:rFonts w:ascii="Times New Roman" w:cs="Times New Roman" w:eastAsia="Times New Roman" w:hAnsi="Times New Roman"/>
          <w:sz w:val="17"/>
          <w:szCs w:val="17"/>
          <w:color w:val="auto"/>
        </w:rPr>
        <w:t>The table below sets forth, as of November 14, 2025 (the “Determination Date”), (i) the name of each person who is offering the resale of shares by this Reoffer Prospectus; (ii) the number of shares that each Selling Stockholder may offer for sale from time to time pursuant to this Reoffer Prospectus, whether or not such Selling Stockholder has a present intention to do so; and (iii) the number of shares (and the percentage, if 1% or more) of Common Stock each person will own after the offering, assuming they sell all of the shares offered. Unless otherwise indicated, beneficial ownership is direct and the person indicated has sole voting and investment power. Unless otherwise indicated, the address for each Selling Stockholder listed in the table below is c/o 960 San Antonio Road, Palo Alto, CA 94303.</w:t>
      </w:r>
    </w:p>
    <w:p>
      <w:pPr>
        <w:spacing w:after="0" w:line="175" w:lineRule="exact"/>
        <w:rPr>
          <w:sz w:val="20"/>
          <w:szCs w:val="20"/>
          <w:color w:val="auto"/>
        </w:rPr>
      </w:pPr>
    </w:p>
    <w:p>
      <w:pPr>
        <w:ind w:right="40" w:firstLine="422"/>
        <w:spacing w:after="0" w:line="260" w:lineRule="auto"/>
        <w:rPr>
          <w:sz w:val="20"/>
          <w:szCs w:val="20"/>
          <w:color w:val="auto"/>
        </w:rPr>
      </w:pPr>
      <w:r>
        <w:rPr>
          <w:rFonts w:ascii="Times New Roman" w:cs="Times New Roman" w:eastAsia="Times New Roman" w:hAnsi="Times New Roman"/>
          <w:sz w:val="17"/>
          <w:szCs w:val="17"/>
          <w:color w:val="auto"/>
        </w:rPr>
        <w:t>The Selling Stockholders identified below may have sold, transferred or otherwise disposed of some or all of their shares since the date on which the information in the following table is presented in transactions exempt from or not subject to the registration requirements of the Securities Act. Information concerning the Selling Stockholders may change from time to time and, if necessary, we will amend or supplement this Reoffer Prospectus accordingly. We cannot give an estimate as to the number of shares of Common Stock that will actually be held by the Selling Stockholders upon termination of this offering because the Selling Stockholders may offer some or all of their Common Stock under the offering contemplated by this Reoffer Prospectus or acquire additional shares of Common Stock. The total number of shares that may be sold hereunder will not exceed the number of shares offered hereby. Please read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in this Reoffer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80" w:type="dxa"/>
            <w:vAlign w:val="bottom"/>
            <w:gridSpan w:val="3"/>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55"/>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180" w:type="dxa"/>
            <w:vAlign w:val="bottom"/>
            <w:gridSpan w:val="3"/>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9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55"/>
              <w:spacing w:after="0" w:line="143"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180" w:type="dxa"/>
            <w:vAlign w:val="bottom"/>
            <w:gridSpan w:val="3"/>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Offered for</w:t>
            </w:r>
          </w:p>
        </w:tc>
        <w:tc>
          <w:tcPr>
            <w:tcW w:w="9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9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55"/>
              <w:spacing w:after="0" w:line="143" w:lineRule="exact"/>
              <w:rPr>
                <w:sz w:val="20"/>
                <w:szCs w:val="20"/>
                <w:color w:val="auto"/>
              </w:rPr>
            </w:pPr>
            <w:r>
              <w:rPr>
                <w:rFonts w:ascii="Times New Roman" w:cs="Times New Roman" w:eastAsia="Times New Roman" w:hAnsi="Times New Roman"/>
                <w:sz w:val="14"/>
                <w:szCs w:val="14"/>
                <w:b w:val="1"/>
                <w:bCs w:val="1"/>
                <w:color w:val="auto"/>
                <w:w w:val="99"/>
              </w:rPr>
              <w:t>Owned Prior</w:t>
            </w:r>
          </w:p>
        </w:tc>
        <w:tc>
          <w:tcPr>
            <w:tcW w:w="1180" w:type="dxa"/>
            <w:vAlign w:val="bottom"/>
            <w:gridSpan w:val="3"/>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Resale in</w:t>
            </w:r>
          </w:p>
        </w:tc>
        <w:tc>
          <w:tcPr>
            <w:tcW w:w="98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9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Selling Stockholder</w:t>
            </w:r>
          </w:p>
        </w:tc>
        <w:tc>
          <w:tcPr>
            <w:tcW w:w="600" w:type="dxa"/>
            <w:vAlign w:val="bottom"/>
          </w:tcPr>
          <w:p>
            <w:pPr>
              <w:spacing w:after="0"/>
              <w:rPr>
                <w:sz w:val="12"/>
                <w:szCs w:val="12"/>
                <w:color w:val="auto"/>
              </w:rPr>
            </w:pPr>
          </w:p>
        </w:tc>
        <w:tc>
          <w:tcPr>
            <w:tcW w:w="436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Position with Company</w:t>
            </w:r>
          </w:p>
        </w:tc>
        <w:tc>
          <w:tcPr>
            <w:tcW w:w="1320" w:type="dxa"/>
            <w:vAlign w:val="bottom"/>
            <w:gridSpan w:val="2"/>
          </w:tcPr>
          <w:p>
            <w:pPr>
              <w:jc w:val="center"/>
              <w:ind w:right="335"/>
              <w:spacing w:after="0" w:line="143" w:lineRule="exact"/>
              <w:rPr>
                <w:sz w:val="20"/>
                <w:szCs w:val="20"/>
                <w:color w:val="auto"/>
              </w:rPr>
            </w:pPr>
            <w:r>
              <w:rPr>
                <w:rFonts w:ascii="Times New Roman" w:cs="Times New Roman" w:eastAsia="Times New Roman" w:hAnsi="Times New Roman"/>
                <w:sz w:val="14"/>
                <w:szCs w:val="14"/>
                <w:b w:val="1"/>
                <w:bCs w:val="1"/>
                <w:color w:val="auto"/>
                <w:w w:val="97"/>
              </w:rPr>
              <w:t>to this</w:t>
            </w:r>
          </w:p>
        </w:tc>
        <w:tc>
          <w:tcPr>
            <w:tcW w:w="1180" w:type="dxa"/>
            <w:vAlign w:val="bottom"/>
            <w:gridSpan w:val="3"/>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this</w:t>
            </w:r>
          </w:p>
        </w:tc>
        <w:tc>
          <w:tcPr>
            <w:tcW w:w="9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After this</w:t>
            </w:r>
          </w:p>
        </w:tc>
        <w:tc>
          <w:tcPr>
            <w:tcW w:w="9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Owned After</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00" w:type="dxa"/>
            <w:vAlign w:val="bottom"/>
          </w:tcPr>
          <w:p>
            <w:pPr>
              <w:spacing w:after="0"/>
              <w:rPr>
                <w:sz w:val="15"/>
                <w:szCs w:val="15"/>
                <w:color w:val="auto"/>
              </w:rPr>
            </w:pPr>
          </w:p>
        </w:tc>
        <w:tc>
          <w:tcPr>
            <w:tcW w:w="4360" w:type="dxa"/>
            <w:vAlign w:val="bottom"/>
            <w:gridSpan w:val="2"/>
            <w:vMerge w:val="continue"/>
          </w:tcPr>
          <w:p>
            <w:pPr>
              <w:spacing w:after="0"/>
              <w:rPr>
                <w:sz w:val="15"/>
                <w:szCs w:val="15"/>
                <w:color w:val="auto"/>
              </w:rPr>
            </w:pPr>
          </w:p>
        </w:tc>
        <w:tc>
          <w:tcPr>
            <w:tcW w:w="1320" w:type="dxa"/>
            <w:vAlign w:val="bottom"/>
            <w:gridSpan w:val="2"/>
          </w:tcPr>
          <w:p>
            <w:pPr>
              <w:jc w:val="center"/>
              <w:ind w:right="355"/>
              <w:spacing w:after="0" w:line="154" w:lineRule="exact"/>
              <w:rPr>
                <w:sz w:val="20"/>
                <w:szCs w:val="20"/>
                <w:color w:val="auto"/>
              </w:rPr>
            </w:pPr>
            <w:r>
              <w:rPr>
                <w:rFonts w:ascii="Times New Roman" w:cs="Times New Roman" w:eastAsia="Times New Roman" w:hAnsi="Times New Roman"/>
                <w:sz w:val="14"/>
                <w:szCs w:val="14"/>
                <w:b w:val="1"/>
                <w:bCs w:val="1"/>
                <w:color w:val="auto"/>
                <w:w w:val="98"/>
              </w:rPr>
              <w:t>Offering</w:t>
            </w:r>
            <w:r>
              <w:rPr>
                <w:rFonts w:ascii="Times New Roman" w:cs="Times New Roman" w:eastAsia="Times New Roman" w:hAnsi="Times New Roman"/>
                <w:sz w:val="10"/>
                <w:szCs w:val="10"/>
                <w:b w:val="1"/>
                <w:bCs w:val="1"/>
                <w:color w:val="auto"/>
                <w:w w:val="98"/>
              </w:rPr>
              <w:t>(1)</w:t>
            </w:r>
          </w:p>
        </w:tc>
        <w:tc>
          <w:tcPr>
            <w:tcW w:w="1180" w:type="dxa"/>
            <w:vAlign w:val="bottom"/>
            <w:gridSpan w:val="3"/>
          </w:tcPr>
          <w:p>
            <w:pPr>
              <w:jc w:val="center"/>
              <w:ind w:right="360"/>
              <w:spacing w:after="0" w:line="154" w:lineRule="exact"/>
              <w:rPr>
                <w:sz w:val="20"/>
                <w:szCs w:val="20"/>
                <w:color w:val="auto"/>
              </w:rPr>
            </w:pPr>
            <w:r>
              <w:rPr>
                <w:rFonts w:ascii="Times New Roman" w:cs="Times New Roman" w:eastAsia="Times New Roman" w:hAnsi="Times New Roman"/>
                <w:sz w:val="14"/>
                <w:szCs w:val="14"/>
                <w:b w:val="1"/>
                <w:bCs w:val="1"/>
                <w:color w:val="auto"/>
                <w:w w:val="98"/>
              </w:rPr>
              <w:t>Offering</w:t>
            </w:r>
            <w:r>
              <w:rPr>
                <w:rFonts w:ascii="Times New Roman" w:cs="Times New Roman" w:eastAsia="Times New Roman" w:hAnsi="Times New Roman"/>
                <w:sz w:val="10"/>
                <w:szCs w:val="10"/>
                <w:b w:val="1"/>
                <w:bCs w:val="1"/>
                <w:color w:val="auto"/>
                <w:w w:val="98"/>
              </w:rPr>
              <w:t>(2)</w:t>
            </w:r>
          </w:p>
        </w:tc>
        <w:tc>
          <w:tcPr>
            <w:tcW w:w="980" w:type="dxa"/>
            <w:vAlign w:val="bottom"/>
            <w:gridSpan w:val="2"/>
          </w:tcPr>
          <w:p>
            <w:pPr>
              <w:jc w:val="center"/>
              <w:ind w:right="300"/>
              <w:spacing w:after="0" w:line="154" w:lineRule="exact"/>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(3)</w:t>
            </w:r>
          </w:p>
        </w:tc>
        <w:tc>
          <w:tcPr>
            <w:tcW w:w="96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Resale</w:t>
            </w:r>
            <w:r>
              <w:rPr>
                <w:rFonts w:ascii="Times New Roman" w:cs="Times New Roman" w:eastAsia="Times New Roman" w:hAnsi="Times New Roman"/>
                <w:sz w:val="8"/>
                <w:szCs w:val="8"/>
                <w:b w:val="1"/>
                <w:bCs w:val="1"/>
                <w:color w:val="auto"/>
              </w:rPr>
              <w:t>(1)(3)</w:t>
            </w:r>
          </w:p>
        </w:tc>
        <w:tc>
          <w:tcPr>
            <w:tcW w:w="0" w:type="dxa"/>
            <w:vAlign w:val="bottom"/>
          </w:tcPr>
          <w:p>
            <w:pPr>
              <w:spacing w:after="0"/>
              <w:rPr>
                <w:sz w:val="1"/>
                <w:szCs w:val="1"/>
                <w:color w:val="auto"/>
              </w:rPr>
            </w:pPr>
          </w:p>
        </w:tc>
      </w:tr>
      <w:tr>
        <w:trPr>
          <w:trHeight w:val="193"/>
        </w:trPr>
        <w:tc>
          <w:tcPr>
            <w:tcW w:w="11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Jaisim Shah</w:t>
            </w:r>
          </w:p>
        </w:tc>
        <w:tc>
          <w:tcPr>
            <w:tcW w:w="600" w:type="dxa"/>
            <w:vAlign w:val="bottom"/>
            <w:tcBorders>
              <w:top w:val="single" w:sz="8" w:color="CCEEFF"/>
            </w:tcBorders>
            <w:shd w:val="clear" w:color="auto" w:fill="CCEEFF"/>
          </w:tcPr>
          <w:p>
            <w:pPr>
              <w:spacing w:after="0"/>
              <w:rPr>
                <w:sz w:val="16"/>
                <w:szCs w:val="16"/>
                <w:color w:val="auto"/>
              </w:rPr>
            </w:pPr>
          </w:p>
        </w:tc>
        <w:tc>
          <w:tcPr>
            <w:tcW w:w="41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7,291,666</w:t>
            </w:r>
          </w:p>
        </w:tc>
        <w:tc>
          <w:tcPr>
            <w:tcW w:w="400" w:type="dxa"/>
            <w:vAlign w:val="bottom"/>
            <w:tcBorders>
              <w:top w:val="single" w:sz="8" w:color="CCEEFF"/>
            </w:tcBorders>
            <w:shd w:val="clear" w:color="auto" w:fill="CCEEFF"/>
          </w:tcPr>
          <w:p>
            <w:pPr>
              <w:jc w:val="right"/>
              <w:ind w:right="195"/>
              <w:spacing w:after="0" w:line="147" w:lineRule="exact"/>
              <w:rPr>
                <w:sz w:val="20"/>
                <w:szCs w:val="20"/>
                <w:color w:val="auto"/>
              </w:rPr>
            </w:pPr>
            <w:r>
              <w:rPr>
                <w:rFonts w:ascii="Times New Roman" w:cs="Times New Roman" w:eastAsia="Times New Roman" w:hAnsi="Times New Roman"/>
                <w:sz w:val="13"/>
                <w:szCs w:val="13"/>
                <w:color w:val="auto"/>
                <w:w w:val="78"/>
              </w:rPr>
              <w:t>(4)</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21,875,000</w:t>
            </w:r>
          </w:p>
        </w:tc>
        <w:tc>
          <w:tcPr>
            <w:tcW w:w="360" w:type="dxa"/>
            <w:vAlign w:val="bottom"/>
            <w:tcBorders>
              <w:top w:val="single" w:sz="8" w:color="CCEEFF"/>
            </w:tcBorders>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w w:val="92"/>
              </w:rPr>
              <w:t>(5)</w:t>
            </w:r>
          </w:p>
        </w:tc>
        <w:tc>
          <w:tcPr>
            <w:tcW w:w="700" w:type="dxa"/>
            <w:vAlign w:val="bottom"/>
            <w:tcBorders>
              <w:top w:val="single" w:sz="8" w:color="auto"/>
            </w:tcBorders>
            <w:shd w:val="clear" w:color="auto" w:fill="CCEEFF"/>
          </w:tcPr>
          <w:p>
            <w:pPr>
              <w:ind w:left="440"/>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560"/>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Henry Ji, Ph.D.</w:t>
            </w:r>
          </w:p>
        </w:tc>
        <w:tc>
          <w:tcPr>
            <w:tcW w:w="60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Chairperson and Director</w:t>
            </w:r>
          </w:p>
        </w:tc>
        <w:tc>
          <w:tcPr>
            <w:tcW w:w="1320" w:type="dxa"/>
            <w:vAlign w:val="bottom"/>
            <w:gridSpan w:val="2"/>
          </w:tcPr>
          <w:p>
            <w:pPr>
              <w:jc w:val="right"/>
              <w:ind w:right="195"/>
              <w:spacing w:after="0" w:line="207" w:lineRule="exact"/>
              <w:rPr>
                <w:sz w:val="20"/>
                <w:szCs w:val="20"/>
                <w:color w:val="auto"/>
              </w:rPr>
            </w:pPr>
            <w:r>
              <w:rPr>
                <w:rFonts w:ascii="Times New Roman" w:cs="Times New Roman" w:eastAsia="Times New Roman" w:hAnsi="Times New Roman"/>
                <w:sz w:val="17"/>
                <w:szCs w:val="17"/>
                <w:color w:val="auto"/>
              </w:rPr>
              <w:t>7,291,666</w:t>
            </w:r>
            <w:r>
              <w:rPr>
                <w:rFonts w:ascii="Times New Roman" w:cs="Times New Roman" w:eastAsia="Times New Roman" w:hAnsi="Times New Roman"/>
                <w:sz w:val="24"/>
                <w:szCs w:val="24"/>
                <w:color w:val="auto"/>
                <w:vertAlign w:val="superscript"/>
              </w:rPr>
              <w:t>(4)</w:t>
            </w:r>
          </w:p>
        </w:tc>
        <w:tc>
          <w:tcPr>
            <w:tcW w:w="1180" w:type="dxa"/>
            <w:vAlign w:val="bottom"/>
            <w:gridSpan w:val="3"/>
          </w:tcPr>
          <w:p>
            <w:pPr>
              <w:jc w:val="right"/>
              <w:ind w:right="200"/>
              <w:spacing w:after="0" w:line="207" w:lineRule="exact"/>
              <w:rPr>
                <w:sz w:val="20"/>
                <w:szCs w:val="20"/>
                <w:color w:val="auto"/>
              </w:rPr>
            </w:pPr>
            <w:r>
              <w:rPr>
                <w:rFonts w:ascii="Times New Roman" w:cs="Times New Roman" w:eastAsia="Times New Roman" w:hAnsi="Times New Roman"/>
                <w:sz w:val="17"/>
                <w:szCs w:val="17"/>
                <w:color w:val="auto"/>
              </w:rPr>
              <w:t>21,875,000</w:t>
            </w:r>
            <w:r>
              <w:rPr>
                <w:rFonts w:ascii="Times New Roman" w:cs="Times New Roman" w:eastAsia="Times New Roman" w:hAnsi="Times New Roman"/>
                <w:sz w:val="24"/>
                <w:szCs w:val="24"/>
                <w:color w:val="auto"/>
                <w:vertAlign w:val="superscript"/>
              </w:rPr>
              <w:t>(6)</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7"/>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Ma</w:t>
            </w:r>
          </w:p>
        </w:tc>
        <w:tc>
          <w:tcPr>
            <w:tcW w:w="60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 Senior Vice President and Secretary</w:t>
            </w:r>
          </w:p>
        </w:tc>
        <w:tc>
          <w:tcPr>
            <w:tcW w:w="1320" w:type="dxa"/>
            <w:vAlign w:val="bottom"/>
            <w:gridSpan w:val="2"/>
            <w:shd w:val="clear" w:color="auto" w:fill="CCEEFF"/>
          </w:tcPr>
          <w:p>
            <w:pPr>
              <w:jc w:val="right"/>
              <w:ind w:right="195"/>
              <w:spacing w:after="0" w:line="207" w:lineRule="exact"/>
              <w:rPr>
                <w:sz w:val="20"/>
                <w:szCs w:val="20"/>
                <w:color w:val="auto"/>
              </w:rPr>
            </w:pPr>
            <w:r>
              <w:rPr>
                <w:rFonts w:ascii="Times New Roman" w:cs="Times New Roman" w:eastAsia="Times New Roman" w:hAnsi="Times New Roman"/>
                <w:sz w:val="17"/>
                <w:szCs w:val="17"/>
                <w:color w:val="auto"/>
              </w:rPr>
              <w:t>833,333</w:t>
            </w:r>
            <w:r>
              <w:rPr>
                <w:rFonts w:ascii="Times New Roman" w:cs="Times New Roman" w:eastAsia="Times New Roman" w:hAnsi="Times New Roman"/>
                <w:sz w:val="24"/>
                <w:szCs w:val="24"/>
                <w:color w:val="auto"/>
                <w:vertAlign w:val="superscript"/>
              </w:rPr>
              <w:t>(4)</w:t>
            </w:r>
          </w:p>
        </w:tc>
        <w:tc>
          <w:tcPr>
            <w:tcW w:w="1180" w:type="dxa"/>
            <w:vAlign w:val="bottom"/>
            <w:gridSpan w:val="3"/>
            <w:shd w:val="clear" w:color="auto" w:fill="CCEEFF"/>
          </w:tcPr>
          <w:p>
            <w:pPr>
              <w:jc w:val="right"/>
              <w:ind w:right="200"/>
              <w:spacing w:after="0" w:line="207" w:lineRule="exact"/>
              <w:rPr>
                <w:sz w:val="20"/>
                <w:szCs w:val="20"/>
                <w:color w:val="auto"/>
              </w:rPr>
            </w:pPr>
            <w:r>
              <w:rPr>
                <w:rFonts w:ascii="Times New Roman" w:cs="Times New Roman" w:eastAsia="Times New Roman" w:hAnsi="Times New Roman"/>
                <w:sz w:val="17"/>
                <w:szCs w:val="17"/>
                <w:color w:val="auto"/>
              </w:rPr>
              <w:t>2,500,000</w:t>
            </w:r>
            <w:r>
              <w:rPr>
                <w:rFonts w:ascii="Times New Roman" w:cs="Times New Roman" w:eastAsia="Times New Roman" w:hAnsi="Times New Roman"/>
                <w:sz w:val="24"/>
                <w:szCs w:val="24"/>
                <w:color w:val="auto"/>
                <w:vertAlign w:val="superscript"/>
              </w:rPr>
              <w:t>(7)</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3"/>
        </w:trPr>
        <w:tc>
          <w:tcPr>
            <w:tcW w:w="1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46,250,000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40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156" w:lineRule="exact"/>
        <w:rPr>
          <w:sz w:val="20"/>
          <w:szCs w:val="20"/>
          <w:color w:val="auto"/>
        </w:rPr>
      </w:pPr>
    </w:p>
    <w:p>
      <w:pPr>
        <w:ind w:left="420" w:hanging="420"/>
        <w:spacing w:after="0"/>
        <w:tabs>
          <w:tab w:leader="none" w:pos="4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Represents beneficial ownership of less than 1%.</w:t>
      </w:r>
    </w:p>
    <w:p>
      <w:pPr>
        <w:spacing w:after="0" w:line="30" w:lineRule="exact"/>
        <w:rPr>
          <w:sz w:val="20"/>
          <w:szCs w:val="20"/>
          <w:color w:val="auto"/>
        </w:rPr>
      </w:pPr>
    </w:p>
    <w:p>
      <w:pPr>
        <w:ind w:left="420" w:right="220" w:hanging="420"/>
        <w:spacing w:after="0" w:line="254" w:lineRule="auto"/>
        <w:tabs>
          <w:tab w:leader="none" w:pos="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and percentages are based on 229,740,978 shares of our capital stock issued and outstanding as of the Determination Date and determined in accordance with the rules and regulations of the Commission.</w:t>
      </w:r>
    </w:p>
    <w:p>
      <w:pPr>
        <w:ind w:left="420" w:right="520" w:hanging="420"/>
        <w:spacing w:after="0" w:line="254" w:lineRule="auto"/>
        <w:tabs>
          <w:tab w:leader="none" w:pos="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reflects all shares of Common Stock acquired or issuable to a person pursuant to applicable grants previously made irrespective of whether such grants are exercisable, vested or convertible as of the Determination Date or will become exercisable, vested or convertible within 60 days after the Determination Date.</w:t>
      </w:r>
    </w:p>
    <w:p>
      <w:pPr>
        <w:ind w:left="420" w:right="440" w:hanging="420"/>
        <w:spacing w:after="0" w:line="261" w:lineRule="auto"/>
        <w:tabs>
          <w:tab w:leader="none" w:pos="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all of the shares of Common Stock being offered are sold in the offering, that shares of Common Stock beneficially owned by such Selling Stockholder on the Determination Date but not being offered pursuant to this Reoffer Prospectus (if any) are not sold, and that no additional shares are purchased or otherwise acquired other than pursuant to the stock options relating to the shares being offered.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60"/>
          </w:cols>
          <w:pgMar w:left="660" w:top="262" w:right="679" w:bottom="1440" w:gutter="0" w:footer="0" w:header="0"/>
        </w:sectPr>
      </w:pPr>
    </w:p>
    <w:bookmarkStart w:id="14" w:name="page15"/>
    <w:bookmarkEnd w:id="14"/>
    <w:p>
      <w:pPr>
        <w:ind w:left="420" w:hanging="420"/>
        <w:spacing w:after="0" w:line="258" w:lineRule="auto"/>
        <w:tabs>
          <w:tab w:leader="none" w:pos="4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Consists solely of shares of Common Stock issuable upon exercise of stock options granted pursuant to the Plan that are exercisable within 60 days of the Determination Date. Until the date on which all payments and all obligations under that certain Senior Secured Promissory Note issued by Scilex Holding Company to Oramed Pharmaceuticals, Inc., dated September 21, 2023 (as amended, the “Oramed Note”), has been paid in full in cash, the options will not be or become exercisable, eligible for exchange, redemption or repurchase, eligible to participate in any dividends or distributions (including the proceeds of any corporate transaction) or have any voting rights in respect of, among other things, the Company or any of its respective current and future subsidiaries, successors and assigns.</w:t>
      </w:r>
    </w:p>
    <w:p>
      <w:pPr>
        <w:ind w:left="420" w:right="220" w:hanging="420"/>
        <w:spacing w:after="0" w:line="254" w:lineRule="auto"/>
        <w:tabs>
          <w:tab w:leader="none" w:pos="4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21,875,000 shares of Common Stock issuable upon exercise of a stock option granted to Mr. Shah pursuant to the Plan, of which 7,291,666 shares of Common Stock are exercisable within 60 days of the Determination Date, whereby 1/48th of the total amount of the shares vested and shall vest each month after the option grant date of August 30, 2024, subject to Mr. Shah providing continuous service (as defined in the Plan) through each vesting date.</w:t>
      </w:r>
    </w:p>
    <w:p>
      <w:pPr>
        <w:spacing w:after="0" w:line="1" w:lineRule="exact"/>
        <w:rPr>
          <w:rFonts w:ascii="Times New Roman" w:cs="Times New Roman" w:eastAsia="Times New Roman" w:hAnsi="Times New Roman"/>
          <w:sz w:val="17"/>
          <w:szCs w:val="17"/>
          <w:color w:val="auto"/>
        </w:rPr>
      </w:pPr>
    </w:p>
    <w:p>
      <w:pPr>
        <w:ind w:left="420" w:right="240" w:hanging="420"/>
        <w:spacing w:after="0" w:line="254" w:lineRule="auto"/>
        <w:tabs>
          <w:tab w:leader="none" w:pos="4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21,875,000 shares of Common Stock issuable upon exercise of a stock option granted to Dr. Ji pursuant to the Plan, of which 7,291,666 shares of Common Stock are exercisable within 60 days of the Determination Date, whereby 1/48th of the total amount of the shares vested and shall vest each month after the option grant date of August 30, 2024, subject to the Dr. Ji’s continued service (as defined in the Plan) through each vesting date.</w:t>
      </w:r>
    </w:p>
    <w:p>
      <w:pPr>
        <w:spacing w:after="0" w:line="1" w:lineRule="exact"/>
        <w:rPr>
          <w:rFonts w:ascii="Times New Roman" w:cs="Times New Roman" w:eastAsia="Times New Roman" w:hAnsi="Times New Roman"/>
          <w:sz w:val="17"/>
          <w:szCs w:val="17"/>
          <w:color w:val="auto"/>
        </w:rPr>
      </w:pPr>
    </w:p>
    <w:p>
      <w:pPr>
        <w:ind w:left="420" w:right="40" w:hanging="420"/>
        <w:spacing w:after="0" w:line="227" w:lineRule="auto"/>
        <w:tabs>
          <w:tab w:leader="none" w:pos="4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2,500,000 shares of Common Stock issuable upon exercise of a stock option granted to Mr. Ma pursuant to the Plan, of which 833,333 shares of Common Stock are exercisable within 60 days of the Determination Date, whereby 1/48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the total amount of the shares vested and shall vest each month after the option grant date of August 30, 2024, subject to the Mr. Ma’s continued service (as defined in the Plan) through each vesting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Material Relationships with the Selling Stockholders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Agreements</w:t>
      </w:r>
    </w:p>
    <w:p>
      <w:pPr>
        <w:spacing w:after="0" w:line="119" w:lineRule="exact"/>
        <w:rPr>
          <w:sz w:val="20"/>
          <w:szCs w:val="20"/>
          <w:color w:val="auto"/>
        </w:rPr>
      </w:pPr>
    </w:p>
    <w:p>
      <w:pPr>
        <w:ind w:right="720" w:firstLine="422"/>
        <w:spacing w:after="0" w:line="291" w:lineRule="auto"/>
        <w:rPr>
          <w:sz w:val="20"/>
          <w:szCs w:val="20"/>
          <w:color w:val="auto"/>
        </w:rPr>
      </w:pPr>
      <w:r>
        <w:rPr>
          <w:rFonts w:ascii="Times New Roman" w:cs="Times New Roman" w:eastAsia="Times New Roman" w:hAnsi="Times New Roman"/>
          <w:sz w:val="17"/>
          <w:szCs w:val="17"/>
          <w:color w:val="auto"/>
        </w:rPr>
        <w:t>The Company entered into employment agreements with each of Mr. Shah, Dr. Ji and Mr. Ma, effective as of the closing of the Business Combination (collectively, the “Employment Agreements”).</w:t>
      </w:r>
    </w:p>
    <w:p>
      <w:pPr>
        <w:spacing w:after="0" w:line="148" w:lineRule="exact"/>
        <w:rPr>
          <w:sz w:val="20"/>
          <w:szCs w:val="20"/>
          <w:color w:val="auto"/>
        </w:rPr>
      </w:pPr>
    </w:p>
    <w:p>
      <w:pPr>
        <w:ind w:right="60" w:firstLine="422"/>
        <w:spacing w:after="0" w:line="273" w:lineRule="auto"/>
        <w:rPr>
          <w:sz w:val="20"/>
          <w:szCs w:val="20"/>
          <w:color w:val="auto"/>
        </w:rPr>
      </w:pPr>
      <w:r>
        <w:rPr>
          <w:rFonts w:ascii="Times New Roman" w:cs="Times New Roman" w:eastAsia="Times New Roman" w:hAnsi="Times New Roman"/>
          <w:sz w:val="17"/>
          <w:szCs w:val="17"/>
          <w:color w:val="auto"/>
        </w:rPr>
        <w:t>Pursuant to the employment agreement entered into with Mr. Shah, Mr. Shah will serve as the Chief Executive Officer and President of the Company. Mr. Shah’s annualized salary will be $1,250,000 and he will be eligible to receive an annual incentive bonus of up to 150% of his base salary. The Compensation Committee of the Board (the “Compensation Committee”) shall annually review and adjust his base salary.</w:t>
      </w:r>
    </w:p>
    <w:p>
      <w:pPr>
        <w:spacing w:after="0" w:line="162" w:lineRule="exact"/>
        <w:rPr>
          <w:sz w:val="20"/>
          <w:szCs w:val="20"/>
          <w:color w:val="auto"/>
        </w:rPr>
      </w:pPr>
    </w:p>
    <w:p>
      <w:pPr>
        <w:ind w:right="60" w:firstLine="422"/>
        <w:spacing w:after="0" w:line="273" w:lineRule="auto"/>
        <w:rPr>
          <w:sz w:val="20"/>
          <w:szCs w:val="20"/>
          <w:color w:val="auto"/>
        </w:rPr>
      </w:pPr>
      <w:r>
        <w:rPr>
          <w:rFonts w:ascii="Times New Roman" w:cs="Times New Roman" w:eastAsia="Times New Roman" w:hAnsi="Times New Roman"/>
          <w:sz w:val="17"/>
          <w:szCs w:val="17"/>
          <w:color w:val="auto"/>
        </w:rPr>
        <w:t>Pursuant to the employment agreement entered into with Dr. Ji, Dr. Ji will serve as the Executive Chairperson of the Company. Dr. Ji’s annualized salary will be $1,100,000 and he will be eligible to receive an annual incentive bonus of up to 150% of his base salary. The Compensation Committee shall annually review and adjust his base salary.</w:t>
      </w:r>
    </w:p>
    <w:p>
      <w:pPr>
        <w:spacing w:after="0" w:line="162" w:lineRule="exact"/>
        <w:rPr>
          <w:sz w:val="20"/>
          <w:szCs w:val="20"/>
          <w:color w:val="auto"/>
        </w:rPr>
      </w:pPr>
    </w:p>
    <w:p>
      <w:pPr>
        <w:ind w:right="80" w:firstLine="422"/>
        <w:spacing w:after="0" w:line="273" w:lineRule="auto"/>
        <w:rPr>
          <w:sz w:val="20"/>
          <w:szCs w:val="20"/>
          <w:color w:val="auto"/>
        </w:rPr>
      </w:pPr>
      <w:r>
        <w:rPr>
          <w:rFonts w:ascii="Times New Roman" w:cs="Times New Roman" w:eastAsia="Times New Roman" w:hAnsi="Times New Roman"/>
          <w:sz w:val="17"/>
          <w:szCs w:val="17"/>
          <w:color w:val="auto"/>
        </w:rPr>
        <w:t>Pursuant to the employment agreement entered into with Mr. Ma, Mr. Ma will serve as the Chief Financial Officer, Senior Vice President and Secretary of the Company. Mr. Ma’s annualized salary will be $345,000 and he will be eligible to receive an annual incentive bonus of up to 60% of his base salary. The Compensation Committee shall annually review and adjust his base salary.</w:t>
      </w:r>
    </w:p>
    <w:p>
      <w:pPr>
        <w:spacing w:after="0" w:line="162" w:lineRule="exact"/>
        <w:rPr>
          <w:sz w:val="20"/>
          <w:szCs w:val="20"/>
          <w:color w:val="auto"/>
        </w:rPr>
      </w:pPr>
    </w:p>
    <w:p>
      <w:pPr>
        <w:ind w:right="60" w:firstLine="422"/>
        <w:spacing w:after="0" w:line="266" w:lineRule="auto"/>
        <w:rPr>
          <w:sz w:val="20"/>
          <w:szCs w:val="20"/>
          <w:color w:val="auto"/>
        </w:rPr>
      </w:pPr>
      <w:r>
        <w:rPr>
          <w:rFonts w:ascii="Times New Roman" w:cs="Times New Roman" w:eastAsia="Times New Roman" w:hAnsi="Times New Roman"/>
          <w:sz w:val="17"/>
          <w:szCs w:val="17"/>
          <w:color w:val="auto"/>
        </w:rPr>
        <w:t>Each Employment Agreement has a term of three years and will renew automatically for additional one year terms, unless either party provides the other with written notice of non-renewal at least 60 days prior to the date of automatic renewal. Each executive officer’s employment will be on an “at will” basis. Each executive officer is also entitled to other customary employment benefits, including reimbursement of expenses, paid vacation, and shall be eligible to participate in all benefit plans that are generally made available to the Company’s executive officers.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60"/>
          </w:cols>
          <w:pgMar w:left="660" w:top="264" w:right="679" w:bottom="1440" w:gutter="0" w:footer="0" w:header="0"/>
        </w:sectPr>
      </w:pPr>
    </w:p>
    <w:bookmarkStart w:id="15" w:name="page16"/>
    <w:bookmarkEnd w:id="15"/>
    <w:p>
      <w:pPr>
        <w:ind w:right="20" w:firstLine="422"/>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Dr. Ji’s and Mr. Shah’s Employment Agreements each provide that if the applicable executive officer with the Company is terminated by the Company without “Cause” or by such executive officer for “Good Reason” and such termination occurs more than six months after the effective date of the Business Combination and prior to a Change in Control (as each term is defined in each Employment Agreement), then such executive officer shall be entitled to receive an amount equal to 12 months of his base salary, payable in accordance with the Company’s payroll cycle and the Company shall pay COBRA premiums for such executive officer and his covered dependents for a period of up to 12 months, subject in each case to such executive officer executing a release in favor of the Company. Additionally, the applicable executive officer’s outstanding and vested stock options as of the date of such executive officer’s termination will remain exercisable for 24 months post-termination. Each Employment Agreement also provides that if there is a Change in Control more than 6 months after the effective date of the Business Combination and prior to the date on which such executive officer’s employment with the Company terminates (as each term is defined in each Employment Agreement), the applicable executive officer will receive a lump-sum payment equal to (i) three times the sum of such executive officer’s base salary and target annual bonus, plus (ii) $3,000 multiplied by 36, in respect of an estimate of benefit premiums for such executive officer. Additionally, outstanding and unvested equity awards with solely time-based vesting shall vest in full and any performance-based vesting requirement shall be deemed satisfied and will become vested in full upon a Change in Control and such applicable executive officer’s outstanding and vested stock options will remain exercisable for 24 months post-termination.</w:t>
      </w:r>
    </w:p>
    <w:p>
      <w:pPr>
        <w:spacing w:after="0" w:line="180" w:lineRule="exact"/>
        <w:rPr>
          <w:sz w:val="20"/>
          <w:szCs w:val="20"/>
          <w:color w:val="auto"/>
        </w:rPr>
      </w:pPr>
    </w:p>
    <w:p>
      <w:pPr>
        <w:ind w:right="20" w:firstLine="422"/>
        <w:spacing w:after="0" w:line="257" w:lineRule="auto"/>
        <w:rPr>
          <w:sz w:val="20"/>
          <w:szCs w:val="20"/>
          <w:color w:val="auto"/>
        </w:rPr>
      </w:pPr>
      <w:r>
        <w:rPr>
          <w:rFonts w:ascii="Times New Roman" w:cs="Times New Roman" w:eastAsia="Times New Roman" w:hAnsi="Times New Roman"/>
          <w:sz w:val="17"/>
          <w:szCs w:val="17"/>
          <w:color w:val="auto"/>
        </w:rPr>
        <w:t>Mr. Ma’s Employment Agreement provides that if Mr. Ma is terminated by the Company without “Cause” or by such executive officer for “Good Reason” and such termination occurs more than six months after the effective date of the Business Combination and prior to a Change in Control (as each term is defined in Mr. Ma’s Employment Agreement), then Mr. Ma shall be entitled to receive an amount equal to 12 months of his base salary, payable in accordance with the Company’s payroll cycle and the Company shall pay COBRA premiums for Mr. Ma and his covered dependents for a period of up to 12 months, subject in each case to such Mr. Ma executing a release in favor of the Company. Additionally, Mr. Ma’s outstanding and vested stock options as of the date of his termination will remain exercisable for 24 months post-termination. His Employment Agreement also provides that if there is a Change in Control more than 6 months after the effective date of the Business Combination and prior to the date on which Mr. Ma’s employment with the Company terminates (as each term is defined in his Employment Agreement), Mr. Ma will receive a lump-sum payment equal to</w:t>
      </w:r>
    </w:p>
    <w:p>
      <w:pPr>
        <w:spacing w:after="0" w:line="2" w:lineRule="exact"/>
        <w:rPr>
          <w:sz w:val="20"/>
          <w:szCs w:val="20"/>
          <w:color w:val="auto"/>
        </w:rPr>
      </w:pPr>
    </w:p>
    <w:p>
      <w:pPr>
        <w:spacing w:after="0" w:line="259" w:lineRule="auto"/>
        <w:tabs>
          <w:tab w:leader="none" w:pos="20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times the sum of his base salary and target annual bonus, plus (ii) $3,000 multiplied by 24, in respect of an estimate of benefit premiums for such executive officer. Additionally, outstanding and unvested equity awards with solely time-based vesting shall vest in full and any performance-based vesting requirement shall be deemed satisfied and will become vested in full upon a Change in Control and Mr. Ma’s outstanding and vested stock options will remain exercisable for 24 months post-termination.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Equity Grants for Directors and Executive Officers</w:t>
      </w:r>
    </w:p>
    <w:p>
      <w:pPr>
        <w:spacing w:after="0" w:line="119" w:lineRule="exact"/>
        <w:rPr>
          <w:sz w:val="20"/>
          <w:szCs w:val="20"/>
          <w:color w:val="auto"/>
        </w:rPr>
      </w:pPr>
    </w:p>
    <w:p>
      <w:pPr>
        <w:ind w:right="20" w:firstLine="422"/>
        <w:spacing w:after="0" w:line="273" w:lineRule="auto"/>
        <w:rPr>
          <w:sz w:val="20"/>
          <w:szCs w:val="20"/>
          <w:color w:val="auto"/>
        </w:rPr>
      </w:pPr>
      <w:r>
        <w:rPr>
          <w:rFonts w:ascii="Times New Roman" w:cs="Times New Roman" w:eastAsia="Times New Roman" w:hAnsi="Times New Roman"/>
          <w:sz w:val="17"/>
          <w:szCs w:val="17"/>
          <w:color w:val="auto"/>
        </w:rPr>
        <w:t>Our 2025 Equity Incentive Plan (the “2025 EIP”) is subject to the approval of our stockholders and upon receipt of such approval, the 2025 EIP will become effective and the Company may grant awards thereunder. Following the effectiveness of the 2025 EIP, our directors are expected to receive the following grants of stock option awards, which will vest in 48 equal monthly installments following the grant date thereof.</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520"/>
          </w:cols>
          <w:pgMar w:left="660" w:top="264" w:right="7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26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0" w:type="dxa"/>
            <w:vAlign w:val="bottom"/>
          </w:tcPr>
          <w:p>
            <w:pPr>
              <w:spacing w:after="0"/>
              <w:rPr>
                <w:sz w:val="1"/>
                <w:szCs w:val="1"/>
                <w:color w:val="auto"/>
              </w:rPr>
            </w:pPr>
          </w:p>
        </w:tc>
      </w:tr>
      <w:tr>
        <w:trPr>
          <w:trHeight w:val="142"/>
        </w:trPr>
        <w:tc>
          <w:tcPr>
            <w:tcW w:w="9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26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Anticipated</w:t>
            </w:r>
          </w:p>
        </w:tc>
        <w:tc>
          <w:tcPr>
            <w:tcW w:w="0" w:type="dxa"/>
            <w:vAlign w:val="bottom"/>
          </w:tcPr>
          <w:p>
            <w:pPr>
              <w:spacing w:after="0"/>
              <w:rPr>
                <w:sz w:val="1"/>
                <w:szCs w:val="1"/>
                <w:color w:val="auto"/>
              </w:rPr>
            </w:pPr>
          </w:p>
        </w:tc>
      </w:tr>
      <w:tr>
        <w:trPr>
          <w:trHeight w:val="187"/>
        </w:trPr>
        <w:tc>
          <w:tcPr>
            <w:tcW w:w="9320" w:type="dxa"/>
            <w:vAlign w:val="bottom"/>
            <w:gridSpan w:val="2"/>
            <w:vMerge w:val="continue"/>
          </w:tcPr>
          <w:p>
            <w:pPr>
              <w:spacing w:after="0"/>
              <w:rPr>
                <w:sz w:val="16"/>
                <w:szCs w:val="16"/>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0"/>
                <w:szCs w:val="10"/>
                <w:b w:val="1"/>
                <w:bCs w:val="1"/>
                <w:color w:val="auto"/>
                <w:w w:val="95"/>
              </w:rPr>
              <w:t>(1)</w:t>
            </w:r>
          </w:p>
        </w:tc>
        <w:tc>
          <w:tcPr>
            <w:tcW w:w="0" w:type="dxa"/>
            <w:vAlign w:val="bottom"/>
          </w:tcPr>
          <w:p>
            <w:pPr>
              <w:spacing w:after="0"/>
              <w:rPr>
                <w:sz w:val="1"/>
                <w:szCs w:val="1"/>
                <w:color w:val="auto"/>
              </w:rPr>
            </w:pPr>
          </w:p>
        </w:tc>
      </w:tr>
      <w:tr>
        <w:trPr>
          <w:trHeight w:val="212"/>
        </w:trPr>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97"/>
              </w:rPr>
              <w:t>Jay Chun, M.D.,</w:t>
            </w:r>
          </w:p>
        </w:tc>
        <w:tc>
          <w:tcPr>
            <w:tcW w:w="8200" w:type="dxa"/>
            <w:vAlign w:val="bottom"/>
          </w:tcPr>
          <w:p>
            <w:pPr>
              <w:ind w:left="60"/>
              <w:spacing w:after="0" w:line="186" w:lineRule="exact"/>
              <w:rPr>
                <w:sz w:val="20"/>
                <w:szCs w:val="20"/>
                <w:color w:val="auto"/>
              </w:rPr>
            </w:pPr>
            <w:r>
              <w:rPr>
                <w:rFonts w:ascii="Times New Roman" w:cs="Times New Roman" w:eastAsia="Times New Roman" w:hAnsi="Times New Roman"/>
                <w:sz w:val="17"/>
                <w:szCs w:val="17"/>
                <w:color w:val="auto"/>
              </w:rPr>
              <w:t>Ph.D., Director</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Dorman Followwill, Director</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311"/>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Yue Alexander Wu, Ph.D., Director</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wp:posOffset>
            </wp:positionV>
            <wp:extent cx="740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143" w:lineRule="exact"/>
        <w:rPr>
          <w:sz w:val="20"/>
          <w:szCs w:val="20"/>
          <w:color w:val="auto"/>
        </w:rPr>
      </w:pPr>
    </w:p>
    <w:p>
      <w:pPr>
        <w:ind w:left="420" w:right="320" w:hanging="420"/>
        <w:spacing w:after="0" w:line="273" w:lineRule="auto"/>
        <w:tabs>
          <w:tab w:leader="none" w:pos="4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grants are subject to, among other things, approval by our Board of such grants following the effectiveness of a Registration Statement on Form S-8 expected to be filed by Semnur with respect to the 2025 EIP, the effectiveness of the 2025 EIP and the continued service of the individuals. As such grants are subject to the approval of our Board, the actual awards may differ.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Agreements</w:t>
      </w:r>
    </w:p>
    <w:p>
      <w:pPr>
        <w:spacing w:after="0" w:line="119" w:lineRule="exact"/>
        <w:rPr>
          <w:sz w:val="20"/>
          <w:szCs w:val="20"/>
          <w:color w:val="auto"/>
        </w:rPr>
      </w:pPr>
    </w:p>
    <w:p>
      <w:pPr>
        <w:ind w:right="80" w:firstLine="422"/>
        <w:spacing w:after="0" w:line="261" w:lineRule="auto"/>
        <w:rPr>
          <w:sz w:val="20"/>
          <w:szCs w:val="20"/>
          <w:color w:val="auto"/>
        </w:rPr>
      </w:pPr>
      <w:r>
        <w:rPr>
          <w:rFonts w:ascii="Times New Roman" w:cs="Times New Roman" w:eastAsia="Times New Roman" w:hAnsi="Times New Roman"/>
          <w:sz w:val="17"/>
          <w:szCs w:val="17"/>
          <w:color w:val="auto"/>
        </w:rPr>
        <w:t>We have entered into separate indemnification agreements with each of our directors, executive officers and certain other employees as determined by our Board, in addition to the indemnification provided for in our Restated Certificate of Incorporation filed with Secretary of State of the State of Delaware on September 22, 2025 and our Bylaws effective as of September 22, 2025. These agreements, among other things, require us to indemnify each director and executive officer to the fullest extent permitted by law, including indemnification of expenses such as attorneys’ fees, judgments, fines and settlement amounts reasonably incurred by the director or executive officer in any action or proceeding, including any action or proceeding by or in right of our company, arising out of the person’s services as a director or executive officer of ours.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60"/>
          </w:cols>
          <w:pgMar w:left="660" w:top="239" w:right="67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PLAN OF DISTRIBUTION</w:t>
      </w:r>
    </w:p>
    <w:p>
      <w:pPr>
        <w:spacing w:after="0" w:line="221" w:lineRule="exact"/>
        <w:rPr>
          <w:sz w:val="20"/>
          <w:szCs w:val="20"/>
          <w:color w:val="auto"/>
        </w:rPr>
      </w:pPr>
    </w:p>
    <w:p>
      <w:pPr>
        <w:ind w:firstLine="422"/>
        <w:spacing w:after="0" w:line="266" w:lineRule="auto"/>
        <w:rPr>
          <w:sz w:val="20"/>
          <w:szCs w:val="20"/>
          <w:color w:val="auto"/>
        </w:rPr>
      </w:pPr>
      <w:r>
        <w:rPr>
          <w:rFonts w:ascii="Times New Roman" w:cs="Times New Roman" w:eastAsia="Times New Roman" w:hAnsi="Times New Roman"/>
          <w:sz w:val="17"/>
          <w:szCs w:val="17"/>
          <w:color w:val="auto"/>
        </w:rPr>
        <w:t>We are registering the shares of our Common Stock previously issued to the Selling Stockholders and shares of our Common Stock issuable to the Selling Stockholders to permit the resale of these shares of Common Stock by the holders thereof from time to time after the date of this Reoffer Prospectus. We will not receive any of the proceeds from the sale by the Selling Stockholders of the shares of Common Stock. We will bear all fees and expenses incident to our obligation to register the shares of Common Stock.</w:t>
      </w:r>
    </w:p>
    <w:p>
      <w:pPr>
        <w:spacing w:after="0" w:line="169" w:lineRule="exact"/>
        <w:rPr>
          <w:sz w:val="20"/>
          <w:szCs w:val="20"/>
          <w:color w:val="auto"/>
        </w:rPr>
      </w:pPr>
    </w:p>
    <w:p>
      <w:pPr>
        <w:ind w:right="140" w:firstLine="422"/>
        <w:spacing w:after="0" w:line="260" w:lineRule="auto"/>
        <w:rPr>
          <w:sz w:val="20"/>
          <w:szCs w:val="20"/>
          <w:color w:val="auto"/>
        </w:rPr>
      </w:pPr>
      <w:r>
        <w:rPr>
          <w:rFonts w:ascii="Times New Roman" w:cs="Times New Roman" w:eastAsia="Times New Roman" w:hAnsi="Times New Roman"/>
          <w:sz w:val="17"/>
          <w:szCs w:val="17"/>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fees, discounts or commissions or agent’s commissions (it being understood that the Selling Stockholders shall not be deemed to be underwriters solely as a result of their participation in this offering). The shares of Common Stock may be sold in one or more transactions at fixed prices, at prevailing market prices at the time of the sale, at varying prices determined at the time of sale, or at negotiated prices. The Selling Stockholders will act independently of us in making decisions with respect to the timing, manner and size of each sale. These sales may be effected in transactions, which may involve cross or block transactions:</w:t>
      </w:r>
    </w:p>
    <w:p>
      <w:pPr>
        <w:spacing w:after="0" w:line="85" w:lineRule="exact"/>
        <w:rPr>
          <w:sz w:val="20"/>
          <w:szCs w:val="20"/>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national securities exchange or quotation service on which the securities may be listed or quoted at the time of sale;</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over-the-counter market;</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transactions otherwise than on these exchanges or systems or in the over-the-counter market;</w:t>
      </w:r>
    </w:p>
    <w:p>
      <w:pPr>
        <w:spacing w:after="0" w:line="128" w:lineRule="exact"/>
        <w:rPr>
          <w:rFonts w:ascii="Times New Roman" w:cs="Times New Roman" w:eastAsia="Times New Roman" w:hAnsi="Times New Roman"/>
          <w:sz w:val="17"/>
          <w:szCs w:val="17"/>
          <w:color w:val="auto"/>
        </w:rPr>
      </w:pPr>
    </w:p>
    <w:p>
      <w:pPr>
        <w:ind w:left="940" w:right="440" w:hanging="422"/>
        <w:spacing w:after="0" w:line="291"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such options are listed on an options exchange or otherwise;</w:t>
      </w:r>
    </w:p>
    <w:p>
      <w:pPr>
        <w:spacing w:after="0" w:line="56"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ordinary brokerage transactions and transactions in which the broker-dealer solicits purchasers;</w:t>
      </w:r>
    </w:p>
    <w:p>
      <w:pPr>
        <w:spacing w:after="0" w:line="128" w:lineRule="exact"/>
        <w:rPr>
          <w:rFonts w:ascii="Times New Roman" w:cs="Times New Roman" w:eastAsia="Times New Roman" w:hAnsi="Times New Roman"/>
          <w:sz w:val="17"/>
          <w:szCs w:val="17"/>
          <w:color w:val="auto"/>
        </w:rPr>
      </w:pPr>
    </w:p>
    <w:p>
      <w:pPr>
        <w:ind w:left="940" w:right="420" w:hanging="422"/>
        <w:spacing w:after="0" w:line="291"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block trades in which the broker-dealer will attempt to sell the shares as agent but may position and resell a portion of the block as principal to facilitate the transaction;</w:t>
      </w:r>
    </w:p>
    <w:p>
      <w:pPr>
        <w:spacing w:after="0" w:line="56"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purchases by a broker-dealer as principal and resale by the broker-dealer for its account;</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 exchange distribution in accordance with the rules of the applicable exchange;</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short sales;</w:t>
      </w:r>
    </w:p>
    <w:p>
      <w:pPr>
        <w:spacing w:after="0" w:line="128" w:lineRule="exact"/>
        <w:rPr>
          <w:rFonts w:ascii="Times New Roman" w:cs="Times New Roman" w:eastAsia="Times New Roman" w:hAnsi="Times New Roman"/>
          <w:sz w:val="17"/>
          <w:szCs w:val="17"/>
          <w:color w:val="auto"/>
        </w:rPr>
      </w:pPr>
    </w:p>
    <w:p>
      <w:pPr>
        <w:jc w:val="both"/>
        <w:ind w:left="940" w:right="40" w:hanging="422"/>
        <w:spacing w:after="0" w:line="273"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trading plans entered into by the Selling Stockholder pursuant to Rule 10b5-1 under the Exchange Act that are in place at the time of an offering pursuant to this Reoffer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settlement of short sales entered into after the effective date of the registration statement of which this Reoffer Prospectus is a part;</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distribution of the Common Stock by any Selling Stockholder to its partners, members or stockholders;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20"/>
          </w:cols>
          <w:pgMar w:left="660" w:top="262" w:right="719" w:bottom="1440" w:gutter="0" w:footer="0" w:header="0"/>
        </w:sectPr>
      </w:pPr>
    </w:p>
    <w:bookmarkStart w:id="18" w:name="page19"/>
    <w:bookmarkEnd w:id="18"/>
    <w:p>
      <w:pPr>
        <w:ind w:left="940" w:hanging="422"/>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through one or more underwritten offerings on a firm commitment or best efforts basis;</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whereby broker-dealers may agree with the Selling Stockholders to sell a specified number of such shares at a stipulated price per share;</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one or more purchasers;</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delayed delivery requirements;</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pledge to secured debts and other obligations;</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combination of any such methods of sale; and</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method permitted pursuant to applicable law.</w:t>
      </w:r>
    </w:p>
    <w:p>
      <w:pPr>
        <w:spacing w:after="0" w:line="219" w:lineRule="exact"/>
        <w:rPr>
          <w:sz w:val="20"/>
          <w:szCs w:val="20"/>
          <w:color w:val="auto"/>
        </w:rPr>
      </w:pPr>
    </w:p>
    <w:p>
      <w:pPr>
        <w:ind w:right="180" w:firstLine="422"/>
        <w:spacing w:after="0" w:line="263" w:lineRule="auto"/>
        <w:rPr>
          <w:sz w:val="20"/>
          <w:szCs w:val="20"/>
          <w:color w:val="auto"/>
        </w:rPr>
      </w:pPr>
      <w:r>
        <w:rPr>
          <w:rFonts w:ascii="Times New Roman" w:cs="Times New Roman" w:eastAsia="Times New Roman" w:hAnsi="Times New Roman"/>
          <w:sz w:val="17"/>
          <w:szCs w:val="17"/>
          <w:color w:val="auto"/>
        </w:rPr>
        <w:t>In addition, a Selling Stockholder that is an entity may elect to make a pro rata in-kind distribution of securities to its members, partners or stockholders pursuant to the registration statement of which this Reoffer Prospectus is a part by delivering this Reoffer Prospectus.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spacing w:after="0" w:line="172" w:lineRule="exact"/>
        <w:rPr>
          <w:sz w:val="20"/>
          <w:szCs w:val="20"/>
          <w:color w:val="auto"/>
        </w:rPr>
      </w:pPr>
    </w:p>
    <w:p>
      <w:pPr>
        <w:ind w:firstLine="422"/>
        <w:spacing w:after="0" w:line="256" w:lineRule="auto"/>
        <w:rPr>
          <w:sz w:val="20"/>
          <w:szCs w:val="20"/>
          <w:color w:val="auto"/>
        </w:rPr>
      </w:pPr>
      <w:r>
        <w:rPr>
          <w:rFonts w:ascii="Times New Roman" w:cs="Times New Roman" w:eastAsia="Times New Roman" w:hAnsi="Times New Roman"/>
          <w:sz w:val="17"/>
          <w:szCs w:val="17"/>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it being understood that the Selling Stockholders shall not be deemed to be underwriters solely as a result of their participation in this offering).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Reoffer Prospectus to close out short positions and to return borrowed shares in connection with such short sales. The Selling Stockholders may also loan or pledge shares of Common Stock to broker-dealers that in turn may sell such shares. The Selling Stockholders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Reoffer Prospectus or any amendment to this Reoffer Prospectus under Rule 424(b)(3) or other applicable provision of the Securities Act amending, if necessary, the list of Selling Stockholders to include the pledgee, transferee or other successors in interest as Selling Stockholders under this Reoffer Prospectus. The Selling Stockholders also may transfer and donate the shares of Common Stock in other circumstances in which case the transferees, donees, pledgees or other successors in interest will be the selling beneficial owners for purposes of this Reoffer Prospectus.</w:t>
      </w:r>
    </w:p>
    <w:p>
      <w:pPr>
        <w:spacing w:after="0" w:line="395" w:lineRule="exact"/>
        <w:rPr>
          <w:sz w:val="20"/>
          <w:szCs w:val="20"/>
          <w:color w:val="auto"/>
        </w:rPr>
      </w:pPr>
    </w:p>
    <w:p>
      <w:pPr>
        <w:ind w:right="100" w:firstLine="422"/>
        <w:spacing w:after="0" w:line="260" w:lineRule="auto"/>
        <w:rPr>
          <w:sz w:val="20"/>
          <w:szCs w:val="20"/>
          <w:color w:val="auto"/>
        </w:rPr>
      </w:pPr>
      <w:r>
        <w:rPr>
          <w:rFonts w:ascii="Times New Roman" w:cs="Times New Roman" w:eastAsia="Times New Roman" w:hAnsi="Times New Roman"/>
          <w:sz w:val="17"/>
          <w:szCs w:val="17"/>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(it being understood that the Selling Stockholders shall not be deemed to be underwriters solely as a result of their participation in this offering).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560"/>
          </w:cols>
          <w:pgMar w:left="660" w:top="264" w:right="679" w:bottom="1440" w:gutter="0" w:footer="0" w:header="0"/>
        </w:sectPr>
      </w:pPr>
    </w:p>
    <w:bookmarkStart w:id="19" w:name="page20"/>
    <w:bookmarkEnd w:id="19"/>
    <w:p>
      <w:pPr>
        <w:ind w:right="1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the Selling Stockholders and any discounts, commissions or concessions allowed or reallowed or paid to broker-dealers. The Selling Stockholders may indemnify any broker-dealer that participates in transactions involving the sale of the shares of Common Stock against certain liabilities, including liabilities arising under the Securities Act.</w:t>
      </w:r>
    </w:p>
    <w:p>
      <w:pPr>
        <w:spacing w:after="0" w:line="162" w:lineRule="exact"/>
        <w:rPr>
          <w:sz w:val="20"/>
          <w:szCs w:val="20"/>
          <w:color w:val="auto"/>
        </w:rPr>
      </w:pPr>
    </w:p>
    <w:p>
      <w:pPr>
        <w:jc w:val="both"/>
        <w:ind w:right="240" w:firstLine="422"/>
        <w:spacing w:after="0" w:line="273" w:lineRule="auto"/>
        <w:rPr>
          <w:sz w:val="20"/>
          <w:szCs w:val="20"/>
          <w:color w:val="auto"/>
        </w:rPr>
      </w:pPr>
      <w:r>
        <w:rPr>
          <w:rFonts w:ascii="Times New Roman" w:cs="Times New Roman" w:eastAsia="Times New Roman" w:hAnsi="Times New Roman"/>
          <w:sz w:val="17"/>
          <w:szCs w:val="17"/>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62" w:lineRule="exact"/>
        <w:rPr>
          <w:sz w:val="20"/>
          <w:szCs w:val="20"/>
          <w:color w:val="auto"/>
        </w:rPr>
      </w:pPr>
    </w:p>
    <w:p>
      <w:pPr>
        <w:ind w:firstLine="422"/>
        <w:spacing w:after="0" w:line="265" w:lineRule="auto"/>
        <w:rPr>
          <w:sz w:val="20"/>
          <w:szCs w:val="20"/>
          <w:color w:val="auto"/>
        </w:rPr>
      </w:pPr>
      <w:r>
        <w:rPr>
          <w:rFonts w:ascii="Times New Roman" w:cs="Times New Roman" w:eastAsia="Times New Roman" w:hAnsi="Times New Roman"/>
          <w:sz w:val="17"/>
          <w:szCs w:val="17"/>
          <w:color w:val="auto"/>
        </w:rPr>
        <w:t>The aggregate proceeds to the Selling Stockholders from the sale of the Common Stock offered will be the purchase price of the Common Stock less discounts or commissions, if any. The Selling Stockholders reserve the right to accept and, together with their agents from time to time, to reject, in whole or in part, any proposed purchase of Common Stock to be made directly or through agents. There can be no assurance that any Selling Stockholder will sell any or all of the shares of Common Stock registered pursuant to the registration statement of which this Reoffer Prospectus forms a part.</w:t>
      </w:r>
    </w:p>
    <w:p>
      <w:pPr>
        <w:spacing w:after="0" w:line="380" w:lineRule="exact"/>
        <w:rPr>
          <w:sz w:val="20"/>
          <w:szCs w:val="20"/>
          <w:color w:val="auto"/>
        </w:rPr>
      </w:pPr>
    </w:p>
    <w:p>
      <w:pPr>
        <w:ind w:firstLine="422"/>
        <w:spacing w:after="0" w:line="261" w:lineRule="auto"/>
        <w:rPr>
          <w:sz w:val="20"/>
          <w:szCs w:val="20"/>
          <w:color w:val="auto"/>
        </w:rPr>
      </w:pPr>
      <w:r>
        <w:rPr>
          <w:rFonts w:ascii="Times New Roman" w:cs="Times New Roman" w:eastAsia="Times New Roman" w:hAnsi="Times New Roman"/>
          <w:sz w:val="17"/>
          <w:szCs w:val="17"/>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75" w:lineRule="exact"/>
        <w:rPr>
          <w:sz w:val="20"/>
          <w:szCs w:val="20"/>
          <w:color w:val="auto"/>
        </w:rPr>
      </w:pPr>
    </w:p>
    <w:p>
      <w:pPr>
        <w:ind w:right="20" w:firstLine="422"/>
        <w:spacing w:after="0" w:line="259" w:lineRule="auto"/>
        <w:rPr>
          <w:sz w:val="20"/>
          <w:szCs w:val="20"/>
          <w:color w:val="auto"/>
        </w:rPr>
      </w:pPr>
      <w:r>
        <w:rPr>
          <w:rFonts w:ascii="Times New Roman" w:cs="Times New Roman" w:eastAsia="Times New Roman" w:hAnsi="Times New Roman"/>
          <w:sz w:val="17"/>
          <w:szCs w:val="17"/>
          <w:color w:val="auto"/>
        </w:rPr>
        <w:t>We will incur costs, fees and expenses in effecting the registration of the Resale Shares covered by this Reoffer Prospectus, including, without limitation, all registration, filing, stock exchange fees, printing expenses, all fees and expenses of complying with applicable securities laws and the fees and disbursements of our counsel and of our independent registered public accounting firm and reasonable fees; provided, however, that a Selling Stockholder will pay all underwriting discounts (it being understood that the Selling Stockholders shall not be deemed to be underwriters solely as a result of their participation in this offering), selling commissions or transfer taxes, if any. We will indemnify the Selling Stockholders against certain liabilities, including certain liabilities arising under the Securities Act or the Exchange Act. We may be indemnified by certain of the Selling Stockholders against certain liabilities, including certain liabilities arising under the Securities Act or the Exchange Act, that may arise from any written information furnished to us by a Selling Stockholder specifically for use in this Reoffer Prospectus.</w:t>
      </w:r>
    </w:p>
    <w:p>
      <w:pPr>
        <w:spacing w:after="0" w:line="177" w:lineRule="exact"/>
        <w:rPr>
          <w:sz w:val="20"/>
          <w:szCs w:val="20"/>
          <w:color w:val="auto"/>
        </w:rPr>
      </w:pPr>
    </w:p>
    <w:p>
      <w:pPr>
        <w:ind w:right="200" w:firstLine="422"/>
        <w:spacing w:after="0" w:line="291" w:lineRule="auto"/>
        <w:rPr>
          <w:sz w:val="20"/>
          <w:szCs w:val="20"/>
          <w:color w:val="auto"/>
        </w:rPr>
      </w:pPr>
      <w:r>
        <w:rPr>
          <w:rFonts w:ascii="Times New Roman" w:cs="Times New Roman" w:eastAsia="Times New Roman" w:hAnsi="Times New Roman"/>
          <w:sz w:val="17"/>
          <w:szCs w:val="17"/>
          <w:color w:val="auto"/>
        </w:rPr>
        <w:t>Once sold under the registration statement of which this Reoffer Prospectus forms a part, the shares of Common Stock will be freely tradable in the hands of persons other than our affiliates.</w:t>
      </w:r>
    </w:p>
    <w:p>
      <w:pPr>
        <w:spacing w:after="0" w:line="148" w:lineRule="exact"/>
        <w:rPr>
          <w:sz w:val="20"/>
          <w:szCs w:val="20"/>
          <w:color w:val="auto"/>
        </w:rPr>
      </w:pPr>
    </w:p>
    <w:p>
      <w:pPr>
        <w:ind w:right="100" w:firstLine="422"/>
        <w:spacing w:after="0" w:line="273" w:lineRule="auto"/>
        <w:rPr>
          <w:sz w:val="20"/>
          <w:szCs w:val="20"/>
          <w:color w:val="auto"/>
        </w:rPr>
      </w:pPr>
      <w:r>
        <w:rPr>
          <w:rFonts w:ascii="Times New Roman" w:cs="Times New Roman" w:eastAsia="Times New Roman" w:hAnsi="Times New Roman"/>
          <w:sz w:val="17"/>
          <w:szCs w:val="17"/>
          <w:color w:val="auto"/>
        </w:rPr>
        <w:t>The amount of shares of Common Stock to be reoffered or resold under the Reoffer Prospectus by each Selling Stockholder and any other person with whom he or she is acting in concert for the purpose of selling shares of Common Stock, may not exceed, during any three-month period, the amount specified in Rule 144(e) under the Securities Act.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40"/>
          </w:cols>
          <w:pgMar w:left="660" w:top="264" w:right="699" w:bottom="1440" w:gutter="0" w:footer="0" w:header="0"/>
        </w:sectPr>
      </w:pPr>
    </w:p>
    <w:bookmarkStart w:id="20" w:name="page21"/>
    <w:bookmarkEnd w:id="20"/>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LEGAL MATTERS</w:t>
      </w:r>
    </w:p>
    <w:p>
      <w:pPr>
        <w:spacing w:after="0" w:line="221" w:lineRule="exact"/>
        <w:rPr>
          <w:sz w:val="20"/>
          <w:szCs w:val="20"/>
          <w:color w:val="auto"/>
        </w:rPr>
      </w:pPr>
    </w:p>
    <w:p>
      <w:pPr>
        <w:ind w:right="640" w:firstLine="422"/>
        <w:spacing w:after="0" w:line="291"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the validity of the shares of Common Stock offered by this Reoffer Prospectus, and any supplement thereto, will be passed upon for us by Paul Hastings LLP, Palo Alto, California.</w:t>
      </w: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21" w:lineRule="exact"/>
        <w:rPr>
          <w:sz w:val="20"/>
          <w:szCs w:val="20"/>
          <w:color w:val="auto"/>
        </w:rPr>
      </w:pPr>
    </w:p>
    <w:p>
      <w:pPr>
        <w:ind w:firstLine="422"/>
        <w:spacing w:after="0" w:line="263" w:lineRule="auto"/>
        <w:rPr>
          <w:sz w:val="20"/>
          <w:szCs w:val="20"/>
          <w:color w:val="auto"/>
        </w:rPr>
      </w:pPr>
      <w:r>
        <w:rPr>
          <w:rFonts w:ascii="Times New Roman" w:cs="Times New Roman" w:eastAsia="Times New Roman" w:hAnsi="Times New Roman"/>
          <w:sz w:val="17"/>
          <w:szCs w:val="17"/>
          <w:color w:val="auto"/>
        </w:rPr>
        <w:t>The financial statements of Semnur Pharmaceuticals, Inc. as of December 31, 2024 and 2023, and for the years then ended, incorporated by reference herein, have been audited by Pipara &amp; Co LLP, an independent registered public accounting firm, as stated in their report (which report expresses an unqualified opinion and includes explanatory paragraphs relating to a going concern uncertainty and the use of a carve-out basis of accounting discussed in Notes 1 and 2), which is incorporated by reference herein. Such financial statements are included in reliance upon the report of such firm given their authority as experts in accounting and auditing.</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440"/>
          </w:cols>
          <w:pgMar w:left="660" w:top="262" w:right="79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II</w:t>
      </w:r>
    </w:p>
    <w:p>
      <w:pPr>
        <w:spacing w:after="0" w:line="21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following documents filed by the Registrant with the Commission are hereby incorporated by reference into this Registration Statement:</w:t>
      </w:r>
    </w:p>
    <w:p>
      <w:pPr>
        <w:spacing w:after="0" w:line="245" w:lineRule="exact"/>
        <w:rPr>
          <w:sz w:val="20"/>
          <w:szCs w:val="20"/>
          <w:color w:val="auto"/>
        </w:rPr>
      </w:pPr>
    </w:p>
    <w:p>
      <w:pPr>
        <w:ind w:left="420" w:hanging="420"/>
        <w:spacing w:after="0"/>
        <w:tabs>
          <w:tab w:leader="none" w:pos="4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prospectus filed with the Commission under Rule </w:t>
      </w:r>
      <w:hyperlink r:id="rId24">
        <w:r>
          <w:rPr>
            <w:rFonts w:ascii="Times New Roman" w:cs="Times New Roman" w:eastAsia="Times New Roman" w:hAnsi="Times New Roman"/>
            <w:sz w:val="17"/>
            <w:szCs w:val="17"/>
            <w:u w:val="single" w:color="auto"/>
            <w:color w:val="0000EE"/>
          </w:rPr>
          <w:t>424(b)(3)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of the Securities Act on August 13, 2025;</w:t>
      </w:r>
    </w:p>
    <w:p>
      <w:pPr>
        <w:spacing w:after="0" w:line="115" w:lineRule="exact"/>
        <w:rPr>
          <w:rFonts w:ascii="Times New Roman" w:cs="Times New Roman" w:eastAsia="Times New Roman" w:hAnsi="Times New Roman"/>
          <w:sz w:val="17"/>
          <w:szCs w:val="17"/>
          <w:color w:val="auto"/>
        </w:rPr>
      </w:pPr>
    </w:p>
    <w:p>
      <w:pPr>
        <w:ind w:left="420" w:right="280" w:hanging="420"/>
        <w:spacing w:after="0" w:line="291" w:lineRule="auto"/>
        <w:tabs>
          <w:tab w:leader="none" w:pos="4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Quarterly Report on </w:t>
      </w:r>
      <w:hyperlink r:id="rId25">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quarter ended September 30, 2025 filed with the Commission on November 12, 2025;</w:t>
      </w:r>
    </w:p>
    <w:p>
      <w:pPr>
        <w:spacing w:after="0" w:line="43" w:lineRule="exact"/>
        <w:rPr>
          <w:rFonts w:ascii="Times New Roman" w:cs="Times New Roman" w:eastAsia="Times New Roman" w:hAnsi="Times New Roman"/>
          <w:sz w:val="17"/>
          <w:szCs w:val="17"/>
          <w:color w:val="auto"/>
        </w:rPr>
      </w:pPr>
    </w:p>
    <w:p>
      <w:pPr>
        <w:ind w:left="420" w:right="280" w:hanging="420"/>
        <w:spacing w:after="0" w:line="273" w:lineRule="auto"/>
        <w:tabs>
          <w:tab w:leader="none" w:pos="420" w:val="left"/>
        </w:tabs>
        <w:numPr>
          <w:ilvl w:val="0"/>
          <w:numId w:val="12"/>
        </w:numPr>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auto"/>
          </w:rPr>
          <w:t xml:space="preserve">The Registrant’s Current Reports on Form 8-K filed with the Commission on </w:t>
        </w:r>
        <w:r>
          <w:rPr>
            <w:rFonts w:ascii="Times New Roman" w:cs="Times New Roman" w:eastAsia="Times New Roman" w:hAnsi="Times New Roman"/>
            <w:sz w:val="17"/>
            <w:szCs w:val="17"/>
            <w:u w:val="single" w:color="auto"/>
            <w:color w:val="0000EE"/>
          </w:rPr>
          <w:t>January 8,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11,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12,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April 9,</w:t>
        </w:r>
      </w:hyperlink>
      <w:r>
        <w:rPr>
          <w:rFonts w:ascii="Times New Roman" w:cs="Times New Roman" w:eastAsia="Times New Roman" w:hAnsi="Times New Roman"/>
          <w:sz w:val="17"/>
          <w:szCs w:val="17"/>
          <w:color w:val="auto"/>
        </w:rPr>
        <w:t xml:space="preserve"> </w:t>
      </w:r>
      <w:hyperlink r:id="rId26">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7">
        <w:r>
          <w:rPr>
            <w:rFonts w:ascii="Times New Roman" w:cs="Times New Roman" w:eastAsia="Times New Roman" w:hAnsi="Times New Roman"/>
            <w:sz w:val="17"/>
            <w:szCs w:val="17"/>
            <w:u w:val="single" w:color="auto"/>
            <w:color w:val="0000EE"/>
          </w:rPr>
          <w:t>April 16,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8">
        <w:r>
          <w:rPr>
            <w:rFonts w:ascii="Times New Roman" w:cs="Times New Roman" w:eastAsia="Times New Roman" w:hAnsi="Times New Roman"/>
            <w:sz w:val="17"/>
            <w:szCs w:val="17"/>
            <w:u w:val="single" w:color="auto"/>
            <w:color w:val="0000EE"/>
          </w:rPr>
          <w:t>April 22,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9">
        <w:r>
          <w:rPr>
            <w:rFonts w:ascii="Times New Roman" w:cs="Times New Roman" w:eastAsia="Times New Roman" w:hAnsi="Times New Roman"/>
            <w:sz w:val="17"/>
            <w:szCs w:val="17"/>
            <w:u w:val="single" w:color="auto"/>
            <w:color w:val="0000EE"/>
          </w:rPr>
          <w:t>May 12,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0">
        <w:r>
          <w:rPr>
            <w:rFonts w:ascii="Times New Roman" w:cs="Times New Roman" w:eastAsia="Times New Roman" w:hAnsi="Times New Roman"/>
            <w:sz w:val="17"/>
            <w:szCs w:val="17"/>
            <w:u w:val="single" w:color="auto"/>
            <w:color w:val="0000EE"/>
          </w:rPr>
          <w:t>June 12,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1">
        <w:r>
          <w:rPr>
            <w:rFonts w:ascii="Times New Roman" w:cs="Times New Roman" w:eastAsia="Times New Roman" w:hAnsi="Times New Roman"/>
            <w:sz w:val="17"/>
            <w:szCs w:val="17"/>
            <w:u w:val="single" w:color="auto"/>
            <w:color w:val="0000EE"/>
          </w:rPr>
          <w:t>July 11,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2">
        <w:r>
          <w:rPr>
            <w:rFonts w:ascii="Times New Roman" w:cs="Times New Roman" w:eastAsia="Times New Roman" w:hAnsi="Times New Roman"/>
            <w:sz w:val="17"/>
            <w:szCs w:val="17"/>
            <w:u w:val="single" w:color="auto"/>
            <w:color w:val="0000EE"/>
          </w:rPr>
          <w:t>July 28,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3">
        <w:r>
          <w:rPr>
            <w:rFonts w:ascii="Times New Roman" w:cs="Times New Roman" w:eastAsia="Times New Roman" w:hAnsi="Times New Roman"/>
            <w:sz w:val="17"/>
            <w:szCs w:val="17"/>
            <w:u w:val="single" w:color="auto"/>
            <w:color w:val="0000EE"/>
          </w:rPr>
          <w:t>August 11, 2025</w:t>
        </w:r>
      </w:hyperlink>
      <w:hyperlink r:id="rId26">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34">
        <w:r>
          <w:rPr>
            <w:rFonts w:ascii="Times New Roman" w:cs="Times New Roman" w:eastAsia="Times New Roman" w:hAnsi="Times New Roman"/>
            <w:sz w:val="17"/>
            <w:szCs w:val="17"/>
            <w:u w:val="single" w:color="auto"/>
            <w:color w:val="0000EE"/>
          </w:rPr>
          <w:t>August 22, 2025</w:t>
        </w:r>
      </w:hyperlink>
      <w:hyperlink r:id="rId26">
        <w:r>
          <w:rPr>
            <w:rFonts w:ascii="Times New Roman" w:cs="Times New Roman" w:eastAsia="Times New Roman" w:hAnsi="Times New Roman"/>
            <w:sz w:val="17"/>
            <w:szCs w:val="17"/>
            <w:color w:val="000000"/>
          </w:rPr>
          <w:t>,</w:t>
        </w:r>
      </w:hyperlink>
      <w:r>
        <w:rPr>
          <w:rFonts w:ascii="Times New Roman" w:cs="Times New Roman" w:eastAsia="Times New Roman" w:hAnsi="Times New Roman"/>
          <w:sz w:val="17"/>
          <w:szCs w:val="17"/>
          <w:color w:val="0000EE"/>
        </w:rPr>
        <w:t xml:space="preserve"> </w:t>
      </w:r>
      <w:hyperlink r:id="rId35">
        <w:r>
          <w:rPr>
            <w:rFonts w:ascii="Times New Roman" w:cs="Times New Roman" w:eastAsia="Times New Roman" w:hAnsi="Times New Roman"/>
            <w:sz w:val="17"/>
            <w:szCs w:val="17"/>
            <w:u w:val="single" w:color="auto"/>
            <w:color w:val="0000EE"/>
          </w:rPr>
          <w:t>September 4,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6">
        <w:r>
          <w:rPr>
            <w:rFonts w:ascii="Times New Roman" w:cs="Times New Roman" w:eastAsia="Times New Roman" w:hAnsi="Times New Roman"/>
            <w:sz w:val="17"/>
            <w:szCs w:val="17"/>
            <w:u w:val="single" w:color="auto"/>
            <w:color w:val="0000EE"/>
          </w:rPr>
          <w:t xml:space="preserve">September 26, 2025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37">
        <w:r>
          <w:rPr>
            <w:rFonts w:ascii="Times New Roman" w:cs="Times New Roman" w:eastAsia="Times New Roman" w:hAnsi="Times New Roman"/>
            <w:sz w:val="17"/>
            <w:szCs w:val="17"/>
            <w:u w:val="single" w:color="auto"/>
            <w:color w:val="0000EE"/>
          </w:rPr>
          <w:t>December 3,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p>
    <w:p>
      <w:pPr>
        <w:spacing w:after="0" w:line="58" w:lineRule="exact"/>
        <w:rPr>
          <w:rFonts w:ascii="Times New Roman" w:cs="Times New Roman" w:eastAsia="Times New Roman" w:hAnsi="Times New Roman"/>
          <w:sz w:val="17"/>
          <w:szCs w:val="17"/>
          <w:color w:val="0000EE"/>
        </w:rPr>
      </w:pPr>
    </w:p>
    <w:p>
      <w:pPr>
        <w:ind w:left="420" w:right="20" w:hanging="420"/>
        <w:spacing w:after="0" w:line="266" w:lineRule="auto"/>
        <w:tabs>
          <w:tab w:leader="none" w:pos="4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description of the Registrant’s Common Stock contained in Exhibit 4.1 to the Registrant’s Current Report on Form 8-K filed with the Commission on December 3, 2025, which updates the description of the Registrant’s Common Stock contained in the Registration Statement on Form 8-A (File No. 001-41351) filed with the Commission on April 6, 2022, pursuant to Section 12(b) of the Exchange Act, and any amendments or reports filed for the purpose of updating, amending, or otherwise modifying such description.</w:t>
      </w:r>
    </w:p>
    <w:p>
      <w:pPr>
        <w:spacing w:after="0" w:line="169" w:lineRule="exact"/>
        <w:rPr>
          <w:rFonts w:ascii="Times New Roman" w:cs="Times New Roman" w:eastAsia="Times New Roman" w:hAnsi="Times New Roman"/>
          <w:sz w:val="17"/>
          <w:szCs w:val="17"/>
          <w:color w:val="0000EE"/>
        </w:rPr>
      </w:pPr>
    </w:p>
    <w:p>
      <w:pPr>
        <w:ind w:right="60" w:firstLine="422"/>
        <w:spacing w:after="0" w:line="263" w:lineRule="auto"/>
        <w:rPr>
          <w:sz w:val="20"/>
          <w:szCs w:val="20"/>
          <w:color w:val="auto"/>
        </w:rPr>
      </w:pPr>
      <w:r>
        <w:rPr>
          <w:rFonts w:ascii="Times New Roman" w:cs="Times New Roman" w:eastAsia="Times New Roman" w:hAnsi="Times New Roman"/>
          <w:sz w:val="17"/>
          <w:szCs w:val="17"/>
          <w:color w:val="auto"/>
        </w:rPr>
        <w:t>All other reports and other documents subsequently filed by the Registrant pursuant to Sections 13(a), 13(c), 14 or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of this Registration Statement from the date of the filing of such reports and documents, except as to any portion of any future annual or quarterly report to stockholders or document or current report furnished under Items 2.02 or 7.01 of Form 8-K that is not deemed filed under such provisions.</w:t>
      </w:r>
    </w:p>
    <w:p>
      <w:pPr>
        <w:spacing w:after="0" w:line="172" w:lineRule="exact"/>
        <w:rPr>
          <w:rFonts w:ascii="Times New Roman" w:cs="Times New Roman" w:eastAsia="Times New Roman" w:hAnsi="Times New Roman"/>
          <w:sz w:val="17"/>
          <w:szCs w:val="17"/>
          <w:color w:val="0000EE"/>
        </w:rPr>
      </w:pPr>
    </w:p>
    <w:p>
      <w:pPr>
        <w:ind w:firstLine="422"/>
        <w:spacing w:after="0" w:line="266" w:lineRule="auto"/>
        <w:rPr>
          <w:sz w:val="20"/>
          <w:szCs w:val="20"/>
          <w:color w:val="auto"/>
        </w:rPr>
      </w:pPr>
      <w:r>
        <w:rPr>
          <w:rFonts w:ascii="Times New Roman" w:cs="Times New Roman" w:eastAsia="Times New Roman" w:hAnsi="Times New Roman"/>
          <w:sz w:val="17"/>
          <w:szCs w:val="17"/>
          <w:color w:val="auto"/>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9" w:lineRule="exact"/>
        <w:rPr>
          <w:rFonts w:ascii="Times New Roman" w:cs="Times New Roman" w:eastAsia="Times New Roman" w:hAnsi="Times New Roman"/>
          <w:sz w:val="17"/>
          <w:szCs w:val="17"/>
          <w:color w:val="0000EE"/>
        </w:rPr>
      </w:pPr>
    </w:p>
    <w:p>
      <w:pPr>
        <w:ind w:right="460" w:firstLine="422"/>
        <w:spacing w:after="0" w:line="273" w:lineRule="auto"/>
        <w:rPr>
          <w:sz w:val="20"/>
          <w:szCs w:val="20"/>
          <w:color w:val="auto"/>
        </w:rPr>
      </w:pPr>
      <w:r>
        <w:rPr>
          <w:rFonts w:ascii="Times New Roman" w:cs="Times New Roman" w:eastAsia="Times New Roman" w:hAnsi="Times New Roman"/>
          <w:sz w:val="17"/>
          <w:szCs w:val="17"/>
          <w:color w:val="auto"/>
        </w:rPr>
        <w:t>You should rely only on the information provided or incorporated by reference in this Registration Statement or any related prospectus. The Registrant has not authorized anyone to provide you with different information. You should not assume that the information in this Registration Statement or any related prospectus is accurate as of any date other than the date on the front of the document.</w:t>
      </w:r>
    </w:p>
    <w:p>
      <w:pPr>
        <w:spacing w:after="0" w:line="162" w:lineRule="exact"/>
        <w:rPr>
          <w:rFonts w:ascii="Times New Roman" w:cs="Times New Roman" w:eastAsia="Times New Roman" w:hAnsi="Times New Roman"/>
          <w:sz w:val="17"/>
          <w:szCs w:val="17"/>
          <w:color w:val="0000EE"/>
        </w:rPr>
      </w:pPr>
    </w:p>
    <w:p>
      <w:pPr>
        <w:jc w:val="both"/>
        <w:ind w:right="120" w:firstLine="422"/>
        <w:spacing w:after="0" w:line="273" w:lineRule="auto"/>
        <w:rPr>
          <w:sz w:val="20"/>
          <w:szCs w:val="20"/>
          <w:color w:val="auto"/>
        </w:rPr>
      </w:pPr>
      <w:r>
        <w:rPr>
          <w:rFonts w:ascii="Times New Roman" w:cs="Times New Roman" w:eastAsia="Times New Roman" w:hAnsi="Times New Roman"/>
          <w:sz w:val="17"/>
          <w:szCs w:val="17"/>
          <w:color w:val="auto"/>
        </w:rPr>
        <w:t>You may contact the Registrant in writing or orally to request copies of the above-referenced filings, without charge (excluding exhibits to such documents unless such exhibits are specifically incorporated by reference into the information incorporated into this Registration Statement). Requests for such information should be directed to:</w:t>
      </w:r>
    </w:p>
    <w:p>
      <w:pPr>
        <w:spacing w:after="0" w:line="162" w:lineRule="exact"/>
        <w:rPr>
          <w:rFonts w:ascii="Times New Roman" w:cs="Times New Roman" w:eastAsia="Times New Roman" w:hAnsi="Times New Roman"/>
          <w:sz w:val="17"/>
          <w:szCs w:val="17"/>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Semnur Pharmaceuticals, Inc.</w:t>
      </w:r>
    </w:p>
    <w:p>
      <w:pPr>
        <w:spacing w:after="0" w:line="30" w:lineRule="exact"/>
        <w:rPr>
          <w:rFonts w:ascii="Times New Roman" w:cs="Times New Roman" w:eastAsia="Times New Roman" w:hAnsi="Times New Roman"/>
          <w:sz w:val="17"/>
          <w:szCs w:val="17"/>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960 San Antonio Road</w:t>
      </w:r>
    </w:p>
    <w:p>
      <w:pPr>
        <w:spacing w:after="0" w:line="12" w:lineRule="exact"/>
        <w:rPr>
          <w:rFonts w:ascii="Times New Roman" w:cs="Times New Roman" w:eastAsia="Times New Roman" w:hAnsi="Times New Roman"/>
          <w:sz w:val="17"/>
          <w:szCs w:val="17"/>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Palo Alto, CA 94303</w:t>
      </w:r>
    </w:p>
    <w:p>
      <w:pPr>
        <w:spacing w:after="0" w:line="12" w:lineRule="exact"/>
        <w:rPr>
          <w:rFonts w:ascii="Times New Roman" w:cs="Times New Roman" w:eastAsia="Times New Roman" w:hAnsi="Times New Roman"/>
          <w:sz w:val="17"/>
          <w:szCs w:val="17"/>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Attn: Chief Executive Officer &amp; President</w:t>
      </w:r>
    </w:p>
    <w:p>
      <w:pPr>
        <w:spacing w:after="0" w:line="136" w:lineRule="exact"/>
        <w:rPr>
          <w:rFonts w:ascii="Times New Roman" w:cs="Times New Roman" w:eastAsia="Times New Roman" w:hAnsi="Times New Roman"/>
          <w:sz w:val="17"/>
          <w:szCs w:val="17"/>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II- 1</w:t>
      </w:r>
    </w:p>
    <w:p>
      <w:pPr>
        <w:sectPr>
          <w:pgSz w:w="11900" w:h="16838" w:orient="portrait"/>
          <w:cols w:equalWidth="0" w:num="1">
            <w:col w:w="10540"/>
          </w:cols>
          <w:pgMar w:left="660" w:top="262" w:right="6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ITEM 4. DESCRIPTION OF SECURITIES.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17" w:lineRule="exact"/>
        <w:rPr>
          <w:sz w:val="20"/>
          <w:szCs w:val="20"/>
          <w:color w:val="auto"/>
        </w:rPr>
      </w:pPr>
    </w:p>
    <w:p>
      <w:pPr>
        <w:ind w:right="40" w:firstLine="422"/>
        <w:spacing w:after="0" w:line="259" w:lineRule="auto"/>
        <w:rPr>
          <w:sz w:val="20"/>
          <w:szCs w:val="20"/>
          <w:color w:val="auto"/>
        </w:rPr>
      </w:pPr>
      <w:r>
        <w:rPr>
          <w:rFonts w:ascii="Times New Roman" w:cs="Times New Roman" w:eastAsia="Times New Roman" w:hAnsi="Times New Roman"/>
          <w:sz w:val="17"/>
          <w:szCs w:val="17"/>
          <w:color w:val="auto"/>
        </w:rPr>
        <w:t>Section 102 of the General Corporation Law of the State of Delaware (the “DGCL”) permits a corporation to eliminate or limit the personal liability of directors and officers of a corporation to the corporation or its stockholders for monetary damages for a breach of fiduciary duty as a director or officer, except where the director or officer breached his or her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or, with respect to any officer, any action by or in the right of the corporation. The Registrant’s restated certificate of incorporation (the “Certificate of Incorporation”) contains provisions that limit the liability of our directors and officers for monetary damages to the fullest extent permitted by the DGCL. Consequently, the Registrant’s directors and officers will not be personally liable to the Registrant or its stockholders for monetary damages for any breach of fiduciary duty as a director or officer, except liability for the following:</w:t>
      </w:r>
    </w:p>
    <w:p>
      <w:pPr>
        <w:spacing w:after="0" w:line="294" w:lineRule="exact"/>
        <w:rPr>
          <w:sz w:val="20"/>
          <w:szCs w:val="20"/>
          <w:color w:val="auto"/>
        </w:rPr>
      </w:pPr>
    </w:p>
    <w:p>
      <w:pPr>
        <w:ind w:left="940" w:hanging="42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their duty of loyalty to the Registrant or its stockholders;</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or omissions not in good faith or that involve intentional misconduct or a knowing violation of law;</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director, unlawful payments of dividends or unlawful stock repurchases or redemptions in violation of the DGCL;</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or officer derived an improper personal benefit; or</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officer, any action by or in the right of the corporation.</w:t>
      </w:r>
    </w:p>
    <w:p>
      <w:pPr>
        <w:spacing w:after="0" w:line="219" w:lineRule="exact"/>
        <w:rPr>
          <w:sz w:val="20"/>
          <w:szCs w:val="20"/>
          <w:color w:val="auto"/>
        </w:rPr>
      </w:pPr>
    </w:p>
    <w:p>
      <w:pPr>
        <w:ind w:right="40" w:firstLine="422"/>
        <w:spacing w:after="0" w:line="273" w:lineRule="auto"/>
        <w:rPr>
          <w:sz w:val="20"/>
          <w:szCs w:val="20"/>
          <w:color w:val="auto"/>
        </w:rPr>
      </w:pPr>
      <w:r>
        <w:rPr>
          <w:rFonts w:ascii="Times New Roman" w:cs="Times New Roman" w:eastAsia="Times New Roman" w:hAnsi="Times New Roman"/>
          <w:sz w:val="17"/>
          <w:szCs w:val="17"/>
          <w:color w:val="auto"/>
        </w:rPr>
        <w:t>The Certificate of Incorporation also provides that if the DGCL is amended to permit further elimination or limitation of the personal liability of directors or officers, then the liability of the Registrant’s directors and officers will be eliminated or limited to the fullest extent permitted by the DGCL, as so amended.</w:t>
      </w:r>
    </w:p>
    <w:p>
      <w:pPr>
        <w:spacing w:after="0" w:line="162" w:lineRule="exact"/>
        <w:rPr>
          <w:sz w:val="20"/>
          <w:szCs w:val="20"/>
          <w:color w:val="auto"/>
        </w:rPr>
      </w:pPr>
    </w:p>
    <w:p>
      <w:pPr>
        <w:ind w:firstLine="422"/>
        <w:spacing w:after="0" w:line="257" w:lineRule="auto"/>
        <w:rPr>
          <w:sz w:val="20"/>
          <w:szCs w:val="20"/>
          <w:color w:val="auto"/>
        </w:rPr>
      </w:pPr>
      <w:r>
        <w:rPr>
          <w:rFonts w:ascii="Times New Roman" w:cs="Times New Roman" w:eastAsia="Times New Roman" w:hAnsi="Times New Roman"/>
          <w:sz w:val="17"/>
          <w:szCs w:val="17"/>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The Certificate of Incorporation permits the Registrant to indemnify its directors, officers, employees and other agents to the maximum extent permitted by the DGCL, and the Registrant’s bylaws (the “Bylaws”) provide that the Registrant will indemnify its directors and officers and permit the Registrant to indemnify its employees and other agents, in each case to the extent not prohibited by the DGCL or any other applicable law.</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II- 2</w:t>
      </w:r>
    </w:p>
    <w:p>
      <w:pPr>
        <w:sectPr>
          <w:pgSz w:w="11900" w:h="16838" w:orient="portrait"/>
          <w:cols w:equalWidth="0" w:num="1">
            <w:col w:w="10540"/>
          </w:cols>
          <w:pgMar w:left="660" w:top="262" w:right="699" w:bottom="1440" w:gutter="0" w:footer="0" w:header="0"/>
        </w:sectPr>
      </w:pPr>
    </w:p>
    <w:bookmarkStart w:id="23" w:name="page24"/>
    <w:bookmarkEnd w:id="23"/>
    <w:p>
      <w:pPr>
        <w:ind w:right="100" w:firstLine="422"/>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The Registrant has entered, and expects to continue to enter, into indemnification agreements with its directors and officers, that may be broader than the specific indemnification provisions contained in the DGCL. These agreements, among other things, require the Registrant to indemnify its directors and officers against liabilities that may arise by reason of their status or service. These indemnification agreements also require the Registrant to advance all expenses actually and reasonably incurred by the directors and executive officers in connection with any proceeding. The Registrant also maintains directors’ and officers’ liability insurance.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1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500" w:type="dxa"/>
            <w:vAlign w:val="bottom"/>
          </w:tcPr>
          <w:p>
            <w:pPr>
              <w:spacing w:after="0"/>
              <w:rPr>
                <w:sz w:val="23"/>
                <w:szCs w:val="23"/>
                <w:color w:val="auto"/>
              </w:rPr>
            </w:pPr>
          </w:p>
        </w:tc>
        <w:tc>
          <w:tcPr>
            <w:tcW w:w="946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58">
              <w:r>
                <w:rPr>
                  <w:rFonts w:ascii="Times New Roman" w:cs="Times New Roman" w:eastAsia="Times New Roman" w:hAnsi="Times New Roman"/>
                  <w:sz w:val="17"/>
                  <w:szCs w:val="17"/>
                  <w:color w:val="0000EE"/>
                </w:rPr>
                <w:t>Restated Certificate of Incorporation of Semnur Pharmaceuticals, Inc. (incorporated by reference to Exhibit 3.1 to the Current Report on</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60" w:type="dxa"/>
            <w:vAlign w:val="bottom"/>
            <w:gridSpan w:val="15"/>
          </w:tcPr>
          <w:p>
            <w:pPr>
              <w:spacing w:after="0" w:line="187" w:lineRule="exact"/>
              <w:rPr>
                <w:rFonts w:ascii="Times New Roman" w:cs="Times New Roman" w:eastAsia="Times New Roman" w:hAnsi="Times New Roman"/>
                <w:sz w:val="17"/>
                <w:szCs w:val="17"/>
                <w:color w:val="0000EE"/>
              </w:rPr>
            </w:pPr>
            <w:hyperlink r:id="rId58">
              <w:r>
                <w:rPr>
                  <w:rFonts w:ascii="Times New Roman" w:cs="Times New Roman" w:eastAsia="Times New Roman" w:hAnsi="Times New Roman"/>
                  <w:sz w:val="17"/>
                  <w:szCs w:val="17"/>
                  <w:color w:val="0000EE"/>
                </w:rPr>
                <w:t>Form 8-K filed by the Registrant on September 26, 2025).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500" w:type="dxa"/>
            <w:vAlign w:val="bottom"/>
          </w:tcPr>
          <w:p>
            <w:pPr>
              <w:spacing w:after="0"/>
              <w:rPr>
                <w:sz w:val="24"/>
                <w:szCs w:val="24"/>
                <w:color w:val="auto"/>
              </w:rPr>
            </w:pPr>
          </w:p>
        </w:tc>
        <w:tc>
          <w:tcPr>
            <w:tcW w:w="896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59">
              <w:r>
                <w:rPr>
                  <w:rFonts w:ascii="Times New Roman" w:cs="Times New Roman" w:eastAsia="Times New Roman" w:hAnsi="Times New Roman"/>
                  <w:sz w:val="17"/>
                  <w:szCs w:val="17"/>
                  <w:color w:val="0000EE"/>
                </w:rPr>
                <w:t>Bylaws of Semnur Pharmaceuticals, Inc. (incorporated by reference to Exhibit 3.3 to the Current Report on Form 8-K filed by the</w:t>
              </w:r>
            </w:hyperlink>
          </w:p>
        </w:tc>
        <w:tc>
          <w:tcPr>
            <w:tcW w:w="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60" w:type="dxa"/>
            <w:vAlign w:val="bottom"/>
            <w:tcBorders>
              <w:bottom w:val="single" w:sz="8" w:color="0000EE"/>
            </w:tcBorders>
            <w:gridSpan w:val="3"/>
          </w:tcPr>
          <w:p>
            <w:pPr>
              <w:spacing w:after="0" w:line="187" w:lineRule="exact"/>
              <w:rPr>
                <w:rFonts w:ascii="Times New Roman" w:cs="Times New Roman" w:eastAsia="Times New Roman" w:hAnsi="Times New Roman"/>
                <w:sz w:val="17"/>
                <w:szCs w:val="17"/>
                <w:color w:val="0000EE"/>
              </w:rPr>
            </w:pPr>
            <w:hyperlink r:id="rId59">
              <w:r>
                <w:rPr>
                  <w:rFonts w:ascii="Times New Roman" w:cs="Times New Roman" w:eastAsia="Times New Roman" w:hAnsi="Times New Roman"/>
                  <w:sz w:val="17"/>
                  <w:szCs w:val="17"/>
                  <w:color w:val="0000EE"/>
                </w:rPr>
                <w:t>Registrant on September 26, 2025).</w:t>
              </w:r>
            </w:hyperlink>
          </w:p>
        </w:tc>
        <w:tc>
          <w:tcPr>
            <w:tcW w:w="710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500" w:type="dxa"/>
            <w:vAlign w:val="bottom"/>
          </w:tcPr>
          <w:p>
            <w:pPr>
              <w:spacing w:after="0"/>
              <w:rPr>
                <w:sz w:val="24"/>
                <w:szCs w:val="24"/>
                <w:color w:val="auto"/>
              </w:rPr>
            </w:pPr>
          </w:p>
        </w:tc>
        <w:tc>
          <w:tcPr>
            <w:tcW w:w="95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Opinion of Paul Hastings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500" w:type="dxa"/>
            <w:vAlign w:val="bottom"/>
          </w:tcPr>
          <w:p>
            <w:pPr>
              <w:spacing w:after="0"/>
              <w:rPr>
                <w:sz w:val="24"/>
                <w:szCs w:val="24"/>
                <w:color w:val="auto"/>
              </w:rPr>
            </w:pPr>
          </w:p>
        </w:tc>
        <w:tc>
          <w:tcPr>
            <w:tcW w:w="95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Consent of Pipara &amp; Co LLP, independent registered public accounting firm of Semnur Pharmaceuticals, Inc.</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500" w:type="dxa"/>
            <w:vAlign w:val="bottom"/>
          </w:tcPr>
          <w:p>
            <w:pPr>
              <w:spacing w:after="0"/>
              <w:rPr>
                <w:sz w:val="24"/>
                <w:szCs w:val="24"/>
                <w:color w:val="auto"/>
              </w:rPr>
            </w:pPr>
          </w:p>
        </w:tc>
        <w:tc>
          <w:tcPr>
            <w:tcW w:w="75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Consent of Paul Hastings LLP (included in Exhibit 5.1).</w:t>
            </w:r>
          </w:p>
        </w:tc>
        <w:tc>
          <w:tcPr>
            <w:tcW w:w="20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50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Power of Attorney is contained on the signature page.</w:t>
            </w:r>
          </w:p>
        </w:tc>
        <w:tc>
          <w:tcPr>
            <w:tcW w:w="160" w:type="dxa"/>
            <w:vAlign w:val="bottom"/>
            <w:tcBorders>
              <w:top w:val="single" w:sz="8" w:color="0000EE"/>
            </w:tcBorders>
          </w:tcPr>
          <w:p>
            <w:pPr>
              <w:spacing w:after="0"/>
              <w:rPr>
                <w:sz w:val="24"/>
                <w:szCs w:val="24"/>
                <w:color w:val="auto"/>
              </w:rPr>
            </w:pPr>
          </w:p>
        </w:tc>
        <w:tc>
          <w:tcPr>
            <w:tcW w:w="5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500" w:type="dxa"/>
            <w:vAlign w:val="bottom"/>
          </w:tcPr>
          <w:p>
            <w:pPr>
              <w:spacing w:after="0"/>
              <w:rPr>
                <w:sz w:val="24"/>
                <w:szCs w:val="24"/>
                <w:color w:val="auto"/>
              </w:rPr>
            </w:pPr>
          </w:p>
        </w:tc>
        <w:tc>
          <w:tcPr>
            <w:tcW w:w="956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60">
              <w:r>
                <w:rPr>
                  <w:rFonts w:ascii="Times New Roman" w:cs="Times New Roman" w:eastAsia="Times New Roman" w:hAnsi="Times New Roman"/>
                  <w:sz w:val="17"/>
                  <w:szCs w:val="17"/>
                  <w:color w:val="0000EE"/>
                </w:rPr>
                <w:t>2024 Semnur Pharmaceuticals, Inc. Stock Option Plan. (incorporated by reference to Exhibit 10.12 to the Registration Statement on Form</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60" w:type="dxa"/>
            <w:vAlign w:val="bottom"/>
            <w:gridSpan w:val="15"/>
          </w:tcPr>
          <w:p>
            <w:pPr>
              <w:spacing w:after="0" w:line="187" w:lineRule="exact"/>
              <w:rPr>
                <w:rFonts w:ascii="Times New Roman" w:cs="Times New Roman" w:eastAsia="Times New Roman" w:hAnsi="Times New Roman"/>
                <w:sz w:val="17"/>
                <w:szCs w:val="17"/>
                <w:color w:val="0000EE"/>
              </w:rPr>
            </w:pPr>
            <w:hyperlink r:id="rId60">
              <w:r>
                <w:rPr>
                  <w:rFonts w:ascii="Times New Roman" w:cs="Times New Roman" w:eastAsia="Times New Roman" w:hAnsi="Times New Roman"/>
                  <w:sz w:val="17"/>
                  <w:szCs w:val="17"/>
                  <w:color w:val="0000EE"/>
                </w:rPr>
                <w:t>S-4 (File No. 333-283019) filed by the Registrant).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500" w:type="dxa"/>
            <w:vAlign w:val="bottom"/>
          </w:tcPr>
          <w:p>
            <w:pPr>
              <w:spacing w:after="0"/>
              <w:rPr>
                <w:sz w:val="24"/>
                <w:szCs w:val="24"/>
                <w:color w:val="auto"/>
              </w:rPr>
            </w:pPr>
          </w:p>
        </w:tc>
        <w:tc>
          <w:tcPr>
            <w:tcW w:w="936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61">
              <w:r>
                <w:rPr>
                  <w:rFonts w:ascii="Times New Roman" w:cs="Times New Roman" w:eastAsia="Times New Roman" w:hAnsi="Times New Roman"/>
                  <w:sz w:val="17"/>
                  <w:szCs w:val="17"/>
                  <w:color w:val="0000EE"/>
                </w:rPr>
                <w:t>Form of Stock Option Grant Notice and Form of Stock Option Agreement under 2024 Semnur Pharmaceuticals, Inc. Stock Option Plan</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40" w:type="dxa"/>
            <w:vAlign w:val="bottom"/>
            <w:tcBorders>
              <w:bottom w:val="single" w:sz="8" w:color="0000EE"/>
            </w:tcBorders>
            <w:gridSpan w:val="12"/>
          </w:tcPr>
          <w:p>
            <w:pPr>
              <w:spacing w:after="0" w:line="187" w:lineRule="exact"/>
              <w:rPr>
                <w:rFonts w:ascii="Times New Roman" w:cs="Times New Roman" w:eastAsia="Times New Roman" w:hAnsi="Times New Roman"/>
                <w:sz w:val="17"/>
                <w:szCs w:val="17"/>
                <w:color w:val="0000EE"/>
              </w:rPr>
            </w:pPr>
            <w:hyperlink r:id="rId61">
              <w:r>
                <w:rPr>
                  <w:rFonts w:ascii="Times New Roman" w:cs="Times New Roman" w:eastAsia="Times New Roman" w:hAnsi="Times New Roman"/>
                  <w:sz w:val="17"/>
                  <w:szCs w:val="17"/>
                  <w:color w:val="0000EE"/>
                </w:rPr>
                <w:t>(incorporated by reference to Exhibit 10.13 to the Registration Statement on Form S-4 (File No. 333-283019) filed by the Registrant).</w:t>
              </w:r>
            </w:hyperlink>
          </w:p>
        </w:tc>
        <w:tc>
          <w:tcPr>
            <w:tcW w:w="3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500" w:type="dxa"/>
            <w:vAlign w:val="bottom"/>
          </w:tcPr>
          <w:p>
            <w:pPr>
              <w:spacing w:after="0"/>
              <w:rPr>
                <w:sz w:val="24"/>
                <w:szCs w:val="24"/>
                <w:color w:val="auto"/>
              </w:rPr>
            </w:pPr>
          </w:p>
        </w:tc>
        <w:tc>
          <w:tcPr>
            <w:tcW w:w="95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II- 3</w:t>
      </w:r>
    </w:p>
    <w:p>
      <w:pPr>
        <w:sectPr>
          <w:pgSz w:w="11900" w:h="16838" w:orient="portrait"/>
          <w:cols w:equalWidth="0" w:num="1">
            <w:col w:w="10560"/>
          </w:cols>
          <w:pgMar w:left="660" w:top="264"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ITEM 9. UNDERTAKINGS.</w:t>
      </w:r>
    </w:p>
    <w:p>
      <w:pPr>
        <w:spacing w:after="0" w:line="117" w:lineRule="exact"/>
        <w:rPr>
          <w:sz w:val="20"/>
          <w:szCs w:val="20"/>
          <w:color w:val="auto"/>
        </w:rPr>
      </w:pPr>
    </w:p>
    <w:p>
      <w:pPr>
        <w:ind w:left="240" w:hanging="240"/>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hereby undertakes:</w:t>
      </w:r>
    </w:p>
    <w:p>
      <w:pPr>
        <w:spacing w:after="0" w:line="218"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19" w:lineRule="exact"/>
        <w:rPr>
          <w:sz w:val="20"/>
          <w:szCs w:val="20"/>
          <w:color w:val="auto"/>
        </w:rPr>
      </w:pPr>
    </w:p>
    <w:p>
      <w:pPr>
        <w:ind w:left="620" w:hanging="19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218" w:lineRule="exact"/>
        <w:rPr>
          <w:rFonts w:ascii="Times New Roman" w:cs="Times New Roman" w:eastAsia="Times New Roman" w:hAnsi="Times New Roman"/>
          <w:sz w:val="17"/>
          <w:szCs w:val="17"/>
          <w:color w:val="auto"/>
        </w:rPr>
      </w:pPr>
    </w:p>
    <w:p>
      <w:pPr>
        <w:ind w:right="120" w:firstLine="423"/>
        <w:spacing w:after="0" w:line="261" w:lineRule="auto"/>
        <w:tabs>
          <w:tab w:leader="none" w:pos="6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4" w:lineRule="exact"/>
        <w:rPr>
          <w:rFonts w:ascii="Times New Roman" w:cs="Times New Roman" w:eastAsia="Times New Roman" w:hAnsi="Times New Roman"/>
          <w:sz w:val="17"/>
          <w:szCs w:val="17"/>
          <w:color w:val="auto"/>
        </w:rPr>
      </w:pPr>
    </w:p>
    <w:p>
      <w:pPr>
        <w:ind w:right="360" w:firstLine="423"/>
        <w:spacing w:after="0" w:line="291" w:lineRule="auto"/>
        <w:tabs>
          <w:tab w:leader="none" w:pos="72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2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Provided, however, that:</w:t>
      </w:r>
    </w:p>
    <w:p>
      <w:pPr>
        <w:spacing w:after="0" w:line="117" w:lineRule="exact"/>
        <w:rPr>
          <w:sz w:val="20"/>
          <w:szCs w:val="20"/>
          <w:color w:val="auto"/>
        </w:rPr>
      </w:pPr>
    </w:p>
    <w:p>
      <w:pPr>
        <w:ind w:right="20" w:firstLine="423"/>
        <w:spacing w:after="0" w:line="273" w:lineRule="auto"/>
        <w:tabs>
          <w:tab w:leader="none" w:pos="70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62" w:lineRule="exact"/>
        <w:rPr>
          <w:sz w:val="20"/>
          <w:szCs w:val="20"/>
          <w:color w:val="auto"/>
        </w:rPr>
      </w:pPr>
    </w:p>
    <w:p>
      <w:pPr>
        <w:ind w:right="120" w:firstLine="423"/>
        <w:spacing w:after="0" w:line="273" w:lineRule="auto"/>
        <w:tabs>
          <w:tab w:leader="none" w:pos="66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1" w:lineRule="exact"/>
        <w:rPr>
          <w:rFonts w:ascii="Times New Roman" w:cs="Times New Roman" w:eastAsia="Times New Roman" w:hAnsi="Times New Roman"/>
          <w:sz w:val="17"/>
          <w:szCs w:val="17"/>
          <w:color w:val="auto"/>
        </w:rPr>
      </w:pPr>
    </w:p>
    <w:p>
      <w:pPr>
        <w:ind w:right="580" w:firstLine="423"/>
        <w:spacing w:after="0" w:line="291" w:lineRule="auto"/>
        <w:tabs>
          <w:tab w:leader="none" w:pos="66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47" w:lineRule="exact"/>
        <w:rPr>
          <w:rFonts w:ascii="Times New Roman" w:cs="Times New Roman" w:eastAsia="Times New Roman" w:hAnsi="Times New Roman"/>
          <w:sz w:val="17"/>
          <w:szCs w:val="17"/>
          <w:color w:val="auto"/>
        </w:rPr>
      </w:pPr>
    </w:p>
    <w:p>
      <w:pPr>
        <w:spacing w:after="0" w:line="263" w:lineRule="auto"/>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72" w:lineRule="exact"/>
        <w:rPr>
          <w:sz w:val="20"/>
          <w:szCs w:val="20"/>
          <w:color w:val="auto"/>
        </w:rPr>
      </w:pPr>
    </w:p>
    <w:p>
      <w:pPr>
        <w:ind w:right="40" w:firstLine="423"/>
        <w:spacing w:after="0" w:line="259" w:lineRule="auto"/>
        <w:tabs>
          <w:tab w:leader="none" w:pos="66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II- 4</w:t>
      </w:r>
    </w:p>
    <w:p>
      <w:pPr>
        <w:sectPr>
          <w:pgSz w:w="11900" w:h="16838" w:orient="portrait"/>
          <w:cols w:equalWidth="0" w:num="1">
            <w:col w:w="10540"/>
          </w:cols>
          <w:pgMar w:left="660" w:top="262" w:right="69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ind w:right="260" w:firstLine="4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Palo Alto, State of California, on December 3, 2025.</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Semnur Pharmaceuticals, Inc.</w:t>
      </w:r>
    </w:p>
    <w:p>
      <w:pPr>
        <w:spacing w:after="0" w:line="2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By: /s/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19050</wp:posOffset>
            </wp:positionV>
            <wp:extent cx="24587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Name: Jaisim Shah</w:t>
      </w:r>
    </w:p>
    <w:p>
      <w:pPr>
        <w:spacing w:after="0" w:line="3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Title: Chief Executive Officer and President</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9" w:lineRule="exact"/>
        <w:rPr>
          <w:sz w:val="20"/>
          <w:szCs w:val="20"/>
          <w:color w:val="auto"/>
        </w:rPr>
      </w:pPr>
    </w:p>
    <w:p>
      <w:pPr>
        <w:ind w:firstLine="422"/>
        <w:spacing w:after="0" w:line="260" w:lineRule="auto"/>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4"/>
          <w:szCs w:val="14"/>
          <w:b w:val="1"/>
          <w:bCs w:val="1"/>
          <w:color w:val="auto"/>
        </w:rPr>
        <w:t>NOW</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LL</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ERSONS</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4"/>
          <w:szCs w:val="14"/>
          <w:b w:val="1"/>
          <w:bCs w:val="1"/>
          <w:color w:val="auto"/>
        </w:rPr>
        <w:t>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HESE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RESENTS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each person whose signature appears below constitutes and appoints Jaisim Shah and Stephen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 and each or any one of them, as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73" w:lineRule="exact"/>
        <w:rPr>
          <w:sz w:val="20"/>
          <w:szCs w:val="20"/>
          <w:color w:val="auto"/>
        </w:rPr>
      </w:pPr>
    </w:p>
    <w:p>
      <w:pPr>
        <w:ind w:right="60" w:firstLine="4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67" w:lineRule="exact"/>
        <w:rPr>
          <w:sz w:val="20"/>
          <w:szCs w:val="20"/>
          <w:color w:val="auto"/>
        </w:rPr>
      </w:pPr>
    </w:p>
    <w:p>
      <w:pPr>
        <w:spacing w:after="0"/>
        <w:tabs>
          <w:tab w:leader="none" w:pos="6120" w:val="left"/>
          <w:tab w:leader="none" w:pos="93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12065</wp:posOffset>
            </wp:positionV>
            <wp:extent cx="39554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3955415" cy="8255"/>
                    </a:xfrm>
                    <a:prstGeom prst="rect">
                      <a:avLst/>
                    </a:prstGeom>
                    <a:noFill/>
                  </pic:spPr>
                </pic:pic>
              </a:graphicData>
            </a:graphic>
          </wp:anchor>
        </w:drawing>
      </w:r>
    </w:p>
    <w:p>
      <w:pPr>
        <w:sectPr>
          <w:pgSz w:w="11900" w:h="16838" w:orient="portrait"/>
          <w:cols w:equalWidth="0" w:num="1">
            <w:col w:w="10500"/>
          </w:cols>
          <w:pgMar w:left="660" w:top="262" w:right="73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689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Jaisim Shah</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Stephen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689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Stephen Ma</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Henry Ji,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689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Henry Ji, Ph.D.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Jay Chun,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689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Jay Chun, M.D., Ph.D.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Dorman Followwill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689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Dorman Followwill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Annu Navani,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689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Annu Navani, M.D.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Yue Alexander Wu,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689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Yue Alexander Wu, Ph.D.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166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December 3, 2025</w:t>
            </w:r>
          </w:p>
        </w:tc>
      </w:tr>
      <w:tr>
        <w:trPr>
          <w:trHeight w:val="226"/>
        </w:trPr>
        <w:tc>
          <w:tcPr>
            <w:tcW w:w="38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660" w:type="dxa"/>
            <w:vAlign w:val="bottom"/>
          </w:tcPr>
          <w:p>
            <w:pPr>
              <w:spacing w:after="0"/>
              <w:rPr>
                <w:sz w:val="19"/>
                <w:szCs w:val="19"/>
                <w:color w:val="auto"/>
              </w:rPr>
            </w:pPr>
          </w:p>
        </w:tc>
      </w:tr>
      <w:tr>
        <w:trPr>
          <w:trHeight w:val="422"/>
        </w:trPr>
        <w:tc>
          <w:tcPr>
            <w:tcW w:w="388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Chief Financial Officer, Senior Vice President and</w:t>
            </w:r>
          </w:p>
        </w:tc>
        <w:tc>
          <w:tcPr>
            <w:tcW w:w="166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December 3, 2025</w:t>
            </w:r>
          </w:p>
        </w:tc>
      </w:tr>
      <w:tr>
        <w:trPr>
          <w:trHeight w:val="207"/>
        </w:trPr>
        <w:tc>
          <w:tcPr>
            <w:tcW w:w="38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Secretary</w:t>
            </w:r>
          </w:p>
        </w:tc>
        <w:tc>
          <w:tcPr>
            <w:tcW w:w="1660" w:type="dxa"/>
            <w:vAlign w:val="bottom"/>
          </w:tcPr>
          <w:p>
            <w:pPr>
              <w:spacing w:after="0"/>
              <w:rPr>
                <w:sz w:val="18"/>
                <w:szCs w:val="18"/>
                <w:color w:val="auto"/>
              </w:rPr>
            </w:pPr>
          </w:p>
        </w:tc>
      </w:tr>
      <w:tr>
        <w:trPr>
          <w:trHeight w:val="226"/>
        </w:trPr>
        <w:tc>
          <w:tcPr>
            <w:tcW w:w="38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(Principal Accounting and Financial Officer)</w:t>
            </w:r>
          </w:p>
        </w:tc>
        <w:tc>
          <w:tcPr>
            <w:tcW w:w="1660" w:type="dxa"/>
            <w:vAlign w:val="bottom"/>
          </w:tcPr>
          <w:p>
            <w:pPr>
              <w:spacing w:after="0"/>
              <w:rPr>
                <w:sz w:val="19"/>
                <w:szCs w:val="19"/>
                <w:color w:val="auto"/>
              </w:rPr>
            </w:pPr>
          </w:p>
        </w:tc>
      </w:tr>
      <w:tr>
        <w:trPr>
          <w:trHeight w:val="427"/>
        </w:trPr>
        <w:tc>
          <w:tcPr>
            <w:tcW w:w="388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Executive Chairperson and Director</w:t>
            </w:r>
          </w:p>
        </w:tc>
        <w:tc>
          <w:tcPr>
            <w:tcW w:w="166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December 3, 2025</w:t>
            </w:r>
          </w:p>
        </w:tc>
      </w:tr>
      <w:tr>
        <w:trPr>
          <w:trHeight w:val="648"/>
        </w:trPr>
        <w:tc>
          <w:tcPr>
            <w:tcW w:w="38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December 3, 2025</w:t>
            </w:r>
          </w:p>
        </w:tc>
      </w:tr>
      <w:tr>
        <w:trPr>
          <w:trHeight w:val="648"/>
        </w:trPr>
        <w:tc>
          <w:tcPr>
            <w:tcW w:w="38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December 3, 2025</w:t>
            </w:r>
          </w:p>
        </w:tc>
      </w:tr>
      <w:tr>
        <w:trPr>
          <w:trHeight w:val="648"/>
        </w:trPr>
        <w:tc>
          <w:tcPr>
            <w:tcW w:w="38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December 3, 2025</w:t>
            </w:r>
          </w:p>
        </w:tc>
      </w:tr>
      <w:tr>
        <w:trPr>
          <w:trHeight w:val="648"/>
        </w:trPr>
        <w:tc>
          <w:tcPr>
            <w:tcW w:w="38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December 3, 2025</w:t>
            </w:r>
          </w:p>
        </w:tc>
      </w:tr>
      <w:tr>
        <w:trPr>
          <w:trHeight w:val="583"/>
        </w:trPr>
        <w:tc>
          <w:tcPr>
            <w:tcW w:w="3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II- 5</w:t>
            </w:r>
          </w:p>
        </w:tc>
        <w:tc>
          <w:tcPr>
            <w:tcW w:w="1660" w:type="dxa"/>
            <w:vAlign w:val="bottom"/>
          </w:tcPr>
          <w:p>
            <w:pPr>
              <w:spacing w:after="0"/>
              <w:rPr>
                <w:sz w:val="24"/>
                <w:szCs w:val="24"/>
                <w:color w:val="auto"/>
              </w:rPr>
            </w:pPr>
          </w:p>
        </w:tc>
      </w:tr>
    </w:tbl>
    <w:p>
      <w:pPr>
        <w:sectPr>
          <w:pgSz w:w="11900" w:h="16838" w:orient="portrait"/>
          <w:cols w:equalWidth="0" w:num="2">
            <w:col w:w="3880" w:space="720"/>
            <w:col w:w="5900"/>
          </w:cols>
          <w:pgMar w:left="660" w:top="262" w:right="739" w:bottom="1440" w:gutter="0" w:footer="0" w:header="0"/>
          <w:type w:val="continuous"/>
        </w:sectPr>
      </w:pPr>
    </w:p>
    <w:bookmarkStart w:id="26" w:name="page27"/>
    <w:bookmarkEnd w:id="26"/>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1504950" cy="44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1504950"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Semnur Pharmaceuticals,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960 San Antonio Road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CA 94303</w:t>
      </w: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Re:</w:t>
        <w:tab/>
        <w:t>Registration Statement on Form S-8</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have acted as counsel to Semnur Pharmaceuticals,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preparation of the registration statement on Form S-8 to be filed by the Company with the U.S.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on or about the date hereof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to effect the registration (a) of 46,250,000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the Company’s common stock, $0.0001 par value per share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by the Company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that are issuable upon exercise of outstanding options previously granted under the Semnur Pharmaceuticals, Inc. 2024 Stock Option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(b) for resale under the Securities Act on behalf of the selling stockholders described in the reoffer prospectus (the “</w:t>
      </w:r>
      <w:r>
        <w:rPr>
          <w:rFonts w:ascii="Times New Roman" w:cs="Times New Roman" w:eastAsia="Times New Roman" w:hAnsi="Times New Roman"/>
          <w:sz w:val="17"/>
          <w:szCs w:val="17"/>
          <w:b w:val="1"/>
          <w:bCs w:val="1"/>
          <w:i w:val="1"/>
          <w:iCs w:val="1"/>
          <w:color w:val="auto"/>
        </w:rPr>
        <w:t>Reoffer Prospectus</w:t>
      </w:r>
      <w:r>
        <w:rPr>
          <w:rFonts w:ascii="Times New Roman" w:cs="Times New Roman" w:eastAsia="Times New Roman" w:hAnsi="Times New Roman"/>
          <w:sz w:val="17"/>
          <w:szCs w:val="17"/>
          <w:color w:val="auto"/>
        </w:rPr>
        <w:t>”) included in the Registration Statement, of such 46,250,000 Shares issuable upon exercise of outstanding options previously granted under the Plan, which options were assumed by the Company in connection with the business combination effected on September 22, 2025 (the “</w:t>
      </w:r>
      <w:r>
        <w:rPr>
          <w:rFonts w:ascii="Times New Roman" w:cs="Times New Roman" w:eastAsia="Times New Roman" w:hAnsi="Times New Roman"/>
          <w:sz w:val="17"/>
          <w:szCs w:val="17"/>
          <w:b w:val="1"/>
          <w:bCs w:val="1"/>
          <w:i w:val="1"/>
          <w:iCs w:val="1"/>
          <w:color w:val="auto"/>
        </w:rPr>
        <w:t>Business Combination</w:t>
      </w:r>
      <w:r>
        <w:rPr>
          <w:rFonts w:ascii="Times New Roman" w:cs="Times New Roman" w:eastAsia="Times New Roman" w:hAnsi="Times New Roman"/>
          <w:sz w:val="17"/>
          <w:szCs w:val="17"/>
          <w:color w:val="auto"/>
        </w:rPr>
        <w:t>”) pursuant to that certain Agreement and Plan of Merger, dated as of August 30, 2024, as amended by Amendment No. 1 to Agreement and Plan of Merger, dated April 16, 2025 and by Amendment No. 2 to Agreement and Plan of Merger, dated July 22, 2025, by and among the Company, Denali Merger Sub Inc., previously a wholly owned subsidiary of the Company, and the pre-Business Combination Semnur Pharmaceuticals, Inc. (now named Semnur, Inc.).</w:t>
      </w:r>
    </w:p>
    <w:p>
      <w:pPr>
        <w:spacing w:after="0" w:line="1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As such counsel and for purposes of our opinion set forth below, we have examined and relied upon originals or copies, certified or otherwise identified to our satisfaction, of such documents, resolutions, certificates and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spacing w:after="0" w:line="79" w:lineRule="exact"/>
        <w:rPr>
          <w:sz w:val="20"/>
          <w:szCs w:val="20"/>
          <w:color w:val="auto"/>
        </w:rPr>
      </w:pPr>
    </w:p>
    <w:p>
      <w:pPr>
        <w:ind w:left="940" w:hanging="525"/>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w:t>
      </w:r>
    </w:p>
    <w:p>
      <w:pPr>
        <w:spacing w:after="0" w:line="128" w:lineRule="exact"/>
        <w:rPr>
          <w:rFonts w:ascii="Times New Roman" w:cs="Times New Roman" w:eastAsia="Times New Roman" w:hAnsi="Times New Roman"/>
          <w:sz w:val="17"/>
          <w:szCs w:val="17"/>
          <w:color w:val="auto"/>
        </w:rPr>
      </w:pPr>
    </w:p>
    <w:p>
      <w:pPr>
        <w:ind w:left="940" w:hanging="525"/>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Reoffer Prospectus;</w:t>
      </w:r>
    </w:p>
    <w:p>
      <w:pPr>
        <w:spacing w:after="0" w:line="128" w:lineRule="exact"/>
        <w:rPr>
          <w:rFonts w:ascii="Times New Roman" w:cs="Times New Roman" w:eastAsia="Times New Roman" w:hAnsi="Times New Roman"/>
          <w:sz w:val="17"/>
          <w:szCs w:val="17"/>
          <w:color w:val="auto"/>
        </w:rPr>
      </w:pPr>
    </w:p>
    <w:p>
      <w:pPr>
        <w:ind w:left="940" w:right="60" w:hanging="525"/>
        <w:spacing w:after="0" w:line="291"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Restated Certificate of Incorporation of the Company, as certified as of December 2, 2025 by the Office of the Secretary of State of the State of Delaware;</w:t>
      </w:r>
    </w:p>
    <w:p>
      <w:pPr>
        <w:spacing w:after="0" w:line="56" w:lineRule="exact"/>
        <w:rPr>
          <w:rFonts w:ascii="Times New Roman" w:cs="Times New Roman" w:eastAsia="Times New Roman" w:hAnsi="Times New Roman"/>
          <w:sz w:val="17"/>
          <w:szCs w:val="17"/>
          <w:color w:val="auto"/>
        </w:rPr>
      </w:pPr>
    </w:p>
    <w:p>
      <w:pPr>
        <w:ind w:left="940" w:right="160" w:hanging="525"/>
        <w:spacing w:after="0" w:line="291"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Designations of the Company, as certified as of December 2, 2025 by the Office of the Secretary of State of the State of Delaware;</w:t>
      </w:r>
    </w:p>
    <w:p>
      <w:pPr>
        <w:spacing w:after="0" w:line="56" w:lineRule="exact"/>
        <w:rPr>
          <w:rFonts w:ascii="Times New Roman" w:cs="Times New Roman" w:eastAsia="Times New Roman" w:hAnsi="Times New Roman"/>
          <w:sz w:val="17"/>
          <w:szCs w:val="17"/>
          <w:color w:val="auto"/>
        </w:rPr>
      </w:pPr>
    </w:p>
    <w:p>
      <w:pPr>
        <w:ind w:left="940" w:hanging="525"/>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Bylaws of the Company as presently in effect, as certified by an officer of the Company on December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109855</wp:posOffset>
            </wp:positionV>
            <wp:extent cx="3724910" cy="238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3724910" cy="238760"/>
                    </a:xfrm>
                    <a:prstGeom prst="rect">
                      <a:avLst/>
                    </a:prstGeom>
                    <a:noFill/>
                  </pic:spPr>
                </pic:pic>
              </a:graphicData>
            </a:graphic>
          </wp:anchor>
        </w:drawing>
      </w:r>
    </w:p>
    <w:p>
      <w:pPr>
        <w:sectPr>
          <w:pgSz w:w="11900" w:h="16838" w:orient="portrait"/>
          <w:cols w:equalWidth="0" w:num="1">
            <w:col w:w="10560"/>
          </w:cols>
          <w:pgMar w:left="660" w:top="119"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79945" cy="37465"/>
                    </a:xfrm>
                    <a:prstGeom prst="rect">
                      <a:avLst/>
                    </a:prstGeom>
                    <a:noFill/>
                  </pic:spPr>
                </pic:pic>
              </a:graphicData>
            </a:graphic>
          </wp:anchor>
        </w:drawing>
        <w:drawing>
          <wp:anchor simplePos="0" relativeHeight="251657728" behindDoc="1" locked="0" layoutInCell="0" allowOverlap="1">
            <wp:simplePos x="0" y="0"/>
            <wp:positionH relativeFrom="page">
              <wp:posOffset>419100</wp:posOffset>
            </wp:positionH>
            <wp:positionV relativeFrom="page">
              <wp:posOffset>179070</wp:posOffset>
            </wp:positionV>
            <wp:extent cx="1184275" cy="345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84275" cy="345440"/>
                    </a:xfrm>
                    <a:prstGeom prst="rect">
                      <a:avLst/>
                    </a:prstGeom>
                    <a:noFill/>
                  </pic:spPr>
                </pic:pic>
              </a:graphicData>
            </a:graphic>
          </wp:anchor>
        </w:drawing>
        <w:t>Semnur Pharmaceuticals,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 2025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136" w:lineRule="exact"/>
        <w:rPr>
          <w:sz w:val="20"/>
          <w:szCs w:val="20"/>
          <w:color w:val="auto"/>
        </w:rPr>
      </w:pPr>
    </w:p>
    <w:p>
      <w:pPr>
        <w:ind w:left="940" w:right="540" w:hanging="525"/>
        <w:spacing w:after="0" w:line="291"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and the forms of award agreements related thereto that were attached as exhibits to the Registration Statement or otherwise incorporated by reference into the exhibits of the Registration Statement;</w:t>
      </w:r>
    </w:p>
    <w:p>
      <w:pPr>
        <w:spacing w:after="0" w:line="56" w:lineRule="exact"/>
        <w:rPr>
          <w:rFonts w:ascii="Times New Roman" w:cs="Times New Roman" w:eastAsia="Times New Roman" w:hAnsi="Times New Roman"/>
          <w:sz w:val="17"/>
          <w:szCs w:val="17"/>
          <w:color w:val="auto"/>
        </w:rPr>
      </w:pPr>
    </w:p>
    <w:p>
      <w:pPr>
        <w:ind w:left="940" w:right="60" w:hanging="525"/>
        <w:spacing w:after="0" w:line="291"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dated as of December 2, 2025, from the Office of the Secretary of State of the State of Delaware, as to the existence and good standing of the Company in the State of Delaware (the “</w:t>
      </w:r>
      <w:r>
        <w:rPr>
          <w:rFonts w:ascii="Times New Roman" w:cs="Times New Roman" w:eastAsia="Times New Roman" w:hAnsi="Times New Roman"/>
          <w:sz w:val="17"/>
          <w:szCs w:val="17"/>
          <w:b w:val="1"/>
          <w:bCs w:val="1"/>
          <w:i w:val="1"/>
          <w:iCs w:val="1"/>
          <w:color w:val="auto"/>
        </w:rPr>
        <w:t>Good Standing Certificate</w:t>
      </w:r>
      <w:r>
        <w:rPr>
          <w:rFonts w:ascii="Times New Roman" w:cs="Times New Roman" w:eastAsia="Times New Roman" w:hAnsi="Times New Roman"/>
          <w:sz w:val="17"/>
          <w:szCs w:val="17"/>
          <w:color w:val="auto"/>
        </w:rPr>
        <w:t>”); and</w:t>
      </w:r>
    </w:p>
    <w:p>
      <w:pPr>
        <w:spacing w:after="0" w:line="56" w:lineRule="exact"/>
        <w:rPr>
          <w:rFonts w:ascii="Times New Roman" w:cs="Times New Roman" w:eastAsia="Times New Roman" w:hAnsi="Times New Roman"/>
          <w:sz w:val="17"/>
          <w:szCs w:val="17"/>
          <w:color w:val="auto"/>
        </w:rPr>
      </w:pPr>
    </w:p>
    <w:p>
      <w:pPr>
        <w:ind w:left="940" w:right="520" w:hanging="525"/>
        <w:spacing w:after="0" w:line="291"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resolutions adopted by the board of directors of the Company regarding the Plan, including the assumption of the Plan, grants of awards under the Plan and other matters related thereto, as certified by an officer of the Company on December 3, 2025.</w:t>
      </w:r>
    </w:p>
    <w:p>
      <w:pPr>
        <w:spacing w:after="0" w:line="148"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In addition to the foregoing, we have made such investigations of law as we have deemed necessary or appropriate as a basis for the opinion set forth in this opinion letter.</w:t>
      </w:r>
    </w:p>
    <w:p>
      <w:pPr>
        <w:spacing w:after="0" w:line="14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such examination and in rendering the opinion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and authority of all persons or entities (other than the Company) executing all agreements, instruments, corporate records, certificates and other documents submitted to us;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w:t>
      </w:r>
    </w:p>
    <w:p>
      <w:pPr>
        <w:spacing w:after="0" w:line="2" w:lineRule="exact"/>
        <w:rPr>
          <w:sz w:val="20"/>
          <w:szCs w:val="20"/>
          <w:color w:val="auto"/>
        </w:rPr>
      </w:pPr>
    </w:p>
    <w:p>
      <w:pPr>
        <w:ind w:right="120"/>
        <w:spacing w:after="0" w:line="255" w:lineRule="auto"/>
        <w:tabs>
          <w:tab w:leader="none" w:pos="3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statements contained in the certificates and comparable documents of public officials, officers and representatives of the Company and other persons on which we have relied for the purposes of this opinion letter are true and correct; (viii) that there has not been any change in the good standing status of the Company from that reported in the Good Standing Certificate; and (ix) that each of the officers and directors of the Company has properly exercised his or her fiduciary duties.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legal matters and issues without the assistance of independent counsel. We have also assumed that any options to which the Shares are subject will be exercised in accordance with the requirements of law, the Plan and the applicable award agreements.</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Based upon the foregoing, and in reliance thereon, and subject to the assumptions, limitations, qualifications and exceptions set forth herein, we are of the opinion that the Shares are duly authorized and, when issued and sold as described in the Registration Statement and in accordance with the Plan and the applicable award agreements (including the receipt by the Company of the full consideration therefor), will be validly issued, fully paid and nonassessable.</w:t>
      </w:r>
    </w:p>
    <w:p>
      <w:pPr>
        <w:sectPr>
          <w:pgSz w:w="11900" w:h="16838" w:orient="portrait"/>
          <w:cols w:equalWidth="0" w:num="1">
            <w:col w:w="10560"/>
          </w:cols>
          <w:pgMar w:left="660" w:top="1015"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79945" cy="37465"/>
                    </a:xfrm>
                    <a:prstGeom prst="rect">
                      <a:avLst/>
                    </a:prstGeom>
                    <a:noFill/>
                  </pic:spPr>
                </pic:pic>
              </a:graphicData>
            </a:graphic>
          </wp:anchor>
        </w:drawing>
        <w:drawing>
          <wp:anchor simplePos="0" relativeHeight="251657728" behindDoc="1" locked="0" layoutInCell="0" allowOverlap="1">
            <wp:simplePos x="0" y="0"/>
            <wp:positionH relativeFrom="page">
              <wp:posOffset>419100</wp:posOffset>
            </wp:positionH>
            <wp:positionV relativeFrom="page">
              <wp:posOffset>179070</wp:posOffset>
            </wp:positionV>
            <wp:extent cx="1184275" cy="345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84275" cy="345440"/>
                    </a:xfrm>
                    <a:prstGeom prst="rect">
                      <a:avLst/>
                    </a:prstGeom>
                    <a:noFill/>
                  </pic:spPr>
                </pic:pic>
              </a:graphicData>
            </a:graphic>
          </wp:anchor>
        </w:drawing>
        <w:t>Semnur Pharmaceuticals,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 2025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136"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7"/>
          <w:szCs w:val="17"/>
          <w:color w:val="auto"/>
        </w:rPr>
        <w:t>Without limiting any of the other limitations, exceptions and qualifications stated elsewhere herein, we express no opinion with regard to the applicability or effect of the laws of any jurisdiction other than the General Corporation Law of the State of Delaware, as in effect on the date of this opinion letter.</w:t>
      </w:r>
    </w:p>
    <w:p>
      <w:pPr>
        <w:spacing w:after="0" w:line="162"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This opinion letter deals only with the specified legal issues expressly addressed herein, and you should not infer any opinion that is not explicitly stated herein from any matter addressed in this opinion letter.</w:t>
      </w:r>
    </w:p>
    <w:p>
      <w:pPr>
        <w:spacing w:after="0" w:line="14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This opinion letter is rendered solely in connection with the issuance and delivery of the Shares as described in the Registration Statement and in accordance with the terms of the Plan and the applicable award agreement. This opinion letter is rendered as of the date hereof, and we assume no obligation to advise you or any other person with regard to any change after the date hereof in the circumstances or the law that may bear on the matters set forth herein after the effectiveness of the Registration Statement even if the change may affect the legal analysis or a legal conclusion or other matters in this opinion letter.</w:t>
      </w:r>
    </w:p>
    <w:p>
      <w:pPr>
        <w:spacing w:after="0" w:line="17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hereby consent to the filing of this opinion letter as Exhibit 5.1 to the Registration Statement. In giving such consent, we do not hereby admit that we are within the category of persons whose consent is required under Section 7 of the Securities Act or the rules or regulations of the Commission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Paul Hastings LLP</w:t>
      </w:r>
    </w:p>
    <w:p>
      <w:pPr>
        <w:sectPr>
          <w:pgSz w:w="11900" w:h="16838" w:orient="portrait"/>
          <w:cols w:equalWidth="0" w:num="1">
            <w:col w:w="10560"/>
          </w:cols>
          <w:pgMar w:left="660" w:top="1015" w:right="6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1036320" cy="970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1036320" cy="970280"/>
                    </a:xfrm>
                    <a:prstGeom prst="rect">
                      <a:avLst/>
                    </a:prstGeom>
                    <a:noFill/>
                  </pic:spPr>
                </pic:pic>
              </a:graphicData>
            </a:graphic>
          </wp:anchor>
        </w:drawing>
        <w:drawing>
          <wp:anchor simplePos="0" relativeHeight="251657728" behindDoc="1" locked="0" layoutInCell="0" allowOverlap="1">
            <wp:simplePos x="0" y="0"/>
            <wp:positionH relativeFrom="column">
              <wp:posOffset>4638040</wp:posOffset>
            </wp:positionH>
            <wp:positionV relativeFrom="paragraph">
              <wp:posOffset>168275</wp:posOffset>
            </wp:positionV>
            <wp:extent cx="1891665" cy="633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1891665" cy="63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Draft Consent of Independent Registered Public Accounting Firm</w:t>
      </w:r>
    </w:p>
    <w:p>
      <w:pPr>
        <w:spacing w:after="0" w:line="2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color w:val="auto"/>
        </w:rPr>
        <w:t>We consent to the use in the Registration Statements to Form S-8 of Semnur Pharmaceuticals, Inc., of our report dated April 21, 2025, relating to the financial statements of Semnur Inc. (Legacy Semnur), as of December 31, 2024 (which report expresses an unqualified opinion and includes explanatory paragraphs relating to a going concern uncertainty, and the use of a carve-out basis of accounting discussed in Notes 1 and 2). We also consent to the reference to us under the heading “Experts” in such Registration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Pipara &amp; Co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Pipara &amp; Co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Delhi, India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03,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New York Office:</w:t>
            </w:r>
          </w:p>
        </w:tc>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 Office:</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Dubai Office:</w:t>
            </w:r>
          </w:p>
        </w:tc>
        <w:tc>
          <w:tcPr>
            <w:tcW w:w="1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Mumbai Office:</w:t>
            </w:r>
          </w:p>
        </w:tc>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Delhi Office:</w:t>
            </w:r>
          </w:p>
        </w:tc>
        <w:tc>
          <w:tcPr>
            <w:tcW w:w="20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Hyderabad Office:</w:t>
            </w:r>
          </w:p>
        </w:tc>
      </w:tr>
      <w:tr>
        <w:trPr>
          <w:trHeight w:val="144"/>
        </w:trPr>
        <w:tc>
          <w:tcPr>
            <w:tcW w:w="1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1270, Ave of Americas,</w:t>
            </w:r>
          </w:p>
        </w:tc>
        <w:tc>
          <w:tcPr>
            <w:tcW w:w="18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“Pipara Corporate House”</w:t>
            </w:r>
          </w:p>
        </w:tc>
        <w:tc>
          <w:tcPr>
            <w:tcW w:w="12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1011, B-Block,</w:t>
            </w:r>
          </w:p>
        </w:tc>
        <w:tc>
          <w:tcPr>
            <w:tcW w:w="18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#3, 13</w:t>
            </w:r>
            <w:r>
              <w:rPr>
                <w:rFonts w:ascii="Times New Roman" w:cs="Times New Roman" w:eastAsia="Times New Roman" w:hAnsi="Times New Roman"/>
                <w:sz w:val="10"/>
                <w:szCs w:val="10"/>
                <w:color w:val="auto"/>
              </w:rPr>
              <w:t>th</w:t>
            </w:r>
            <w:r>
              <w:rPr>
                <w:rFonts w:ascii="Times New Roman" w:cs="Times New Roman" w:eastAsia="Times New Roman" w:hAnsi="Times New Roman"/>
                <w:sz w:val="14"/>
                <w:szCs w:val="14"/>
                <w:color w:val="auto"/>
              </w:rPr>
              <w:t xml:space="preserve"> floor, Tradelink, ‘</w:t>
            </w:r>
          </w:p>
        </w:tc>
        <w:tc>
          <w:tcPr>
            <w:tcW w:w="2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Green Park Desq Work,</w:t>
            </w:r>
          </w:p>
        </w:tc>
        <w:tc>
          <w:tcPr>
            <w:tcW w:w="208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509, Sandhya Techno - 1,</w:t>
            </w:r>
          </w:p>
        </w:tc>
      </w:tr>
      <w:tr>
        <w:trPr>
          <w:trHeight w:val="140"/>
        </w:trPr>
        <w:tc>
          <w:tcPr>
            <w:tcW w:w="15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Rockefeller Center, FL7,</w:t>
            </w:r>
          </w:p>
        </w:tc>
        <w:tc>
          <w:tcPr>
            <w:tcW w:w="180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Near Bandhan Bank Ltd.,</w:t>
            </w:r>
          </w:p>
        </w:tc>
        <w:tc>
          <w:tcPr>
            <w:tcW w:w="120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rPr>
              <w:t>Mazaya Centre,</w:t>
            </w:r>
          </w:p>
        </w:tc>
        <w:tc>
          <w:tcPr>
            <w:tcW w:w="1840" w:type="dxa"/>
            <w:vAlign w:val="bottom"/>
          </w:tcPr>
          <w:p>
            <w:pPr>
              <w:ind w:left="120"/>
              <w:spacing w:after="0" w:line="141" w:lineRule="exact"/>
              <w:rPr>
                <w:sz w:val="20"/>
                <w:szCs w:val="20"/>
                <w:color w:val="auto"/>
              </w:rPr>
            </w:pPr>
            <w:r>
              <w:rPr>
                <w:rFonts w:ascii="Times New Roman" w:cs="Times New Roman" w:eastAsia="Times New Roman" w:hAnsi="Times New Roman"/>
                <w:sz w:val="14"/>
                <w:szCs w:val="14"/>
                <w:color w:val="auto"/>
              </w:rPr>
              <w:t>E’ Wing, A - Block, Kamala</w:t>
            </w:r>
          </w:p>
        </w:tc>
        <w:tc>
          <w:tcPr>
            <w:tcW w:w="2080" w:type="dxa"/>
            <w:vAlign w:val="bottom"/>
          </w:tcPr>
          <w:p>
            <w:pPr>
              <w:ind w:left="160"/>
              <w:spacing w:after="0" w:line="141" w:lineRule="exact"/>
              <w:rPr>
                <w:sz w:val="20"/>
                <w:szCs w:val="20"/>
                <w:color w:val="auto"/>
              </w:rPr>
            </w:pPr>
            <w:r>
              <w:rPr>
                <w:rFonts w:ascii="Times New Roman" w:cs="Times New Roman" w:eastAsia="Times New Roman" w:hAnsi="Times New Roman"/>
                <w:sz w:val="14"/>
                <w:szCs w:val="14"/>
                <w:color w:val="auto"/>
              </w:rPr>
              <w:t>Gate No. 1, 49/1 Yusuf Sarai, Nr.</w:t>
            </w:r>
          </w:p>
        </w:tc>
        <w:tc>
          <w:tcPr>
            <w:tcW w:w="208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color w:val="auto"/>
              </w:rPr>
              <w:t>Opp. KIMS Hospital, Raidurgam,</w:t>
            </w:r>
          </w:p>
        </w:tc>
      </w:tr>
      <w:tr>
        <w:trPr>
          <w:trHeight w:val="142"/>
        </w:trPr>
        <w:tc>
          <w:tcPr>
            <w:tcW w:w="156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New York </w:t>
            </w:r>
            <w:r>
              <w:rPr>
                <w:rFonts w:ascii="Times New Roman" w:cs="Times New Roman" w:eastAsia="Times New Roman" w:hAnsi="Times New Roman"/>
                <w:sz w:val="14"/>
                <w:szCs w:val="14"/>
                <w:color w:val="auto"/>
              </w:rPr>
              <w:t>– 10020,</w:t>
            </w:r>
          </w:p>
        </w:tc>
        <w:tc>
          <w:tcPr>
            <w:tcW w:w="18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Netaji Marg, Law Garden,</w:t>
            </w:r>
          </w:p>
        </w:tc>
        <w:tc>
          <w:tcPr>
            <w:tcW w:w="1200" w:type="dxa"/>
            <w:vAlign w:val="bottom"/>
          </w:tcPr>
          <w:p>
            <w:pPr>
              <w:ind w:left="60"/>
              <w:spacing w:after="0" w:line="143" w:lineRule="exact"/>
              <w:rPr>
                <w:sz w:val="20"/>
                <w:szCs w:val="20"/>
                <w:color w:val="auto"/>
              </w:rPr>
            </w:pPr>
            <w:r>
              <w:rPr>
                <w:rFonts w:ascii="Times New Roman" w:cs="Times New Roman" w:eastAsia="Times New Roman" w:hAnsi="Times New Roman"/>
                <w:sz w:val="14"/>
                <w:szCs w:val="14"/>
                <w:color w:val="auto"/>
              </w:rPr>
              <w:t>Sheikh Zayed Rd -</w:t>
            </w:r>
          </w:p>
        </w:tc>
        <w:tc>
          <w:tcPr>
            <w:tcW w:w="184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Mills, Senapati Bapat</w:t>
            </w:r>
          </w:p>
        </w:tc>
        <w:tc>
          <w:tcPr>
            <w:tcW w:w="208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Green Park Metro Station,</w:t>
            </w:r>
          </w:p>
        </w:tc>
        <w:tc>
          <w:tcPr>
            <w:tcW w:w="2080" w:type="dxa"/>
            <w:vAlign w:val="bottom"/>
          </w:tcPr>
          <w:p>
            <w:pPr>
              <w:ind w:left="80"/>
              <w:spacing w:after="0" w:line="143" w:lineRule="exact"/>
              <w:rPr>
                <w:sz w:val="20"/>
                <w:szCs w:val="20"/>
                <w:color w:val="auto"/>
              </w:rPr>
            </w:pPr>
            <w:r>
              <w:rPr>
                <w:rFonts w:ascii="Times New Roman" w:cs="Times New Roman" w:eastAsia="Times New Roman" w:hAnsi="Times New Roman"/>
                <w:sz w:val="14"/>
                <w:szCs w:val="14"/>
                <w:color w:val="auto"/>
              </w:rPr>
              <w:t>Hyderabad Telangana, India,</w:t>
            </w:r>
          </w:p>
        </w:tc>
      </w:tr>
      <w:tr>
        <w:trPr>
          <w:trHeight w:val="142"/>
        </w:trPr>
        <w:tc>
          <w:tcPr>
            <w:tcW w:w="156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USA </w:t>
            </w:r>
            <w:r>
              <w:rPr>
                <w:rFonts w:ascii="Times New Roman" w:cs="Times New Roman" w:eastAsia="Times New Roman" w:hAnsi="Times New Roman"/>
                <w:sz w:val="14"/>
                <w:szCs w:val="14"/>
                <w:color w:val="auto"/>
              </w:rPr>
              <w:t>+1 (646) 387 - 2034</w:t>
            </w:r>
          </w:p>
        </w:tc>
        <w:tc>
          <w:tcPr>
            <w:tcW w:w="18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Ahmedabad </w:t>
            </w:r>
            <w:r>
              <w:rPr>
                <w:rFonts w:ascii="Times New Roman" w:cs="Times New Roman" w:eastAsia="Times New Roman" w:hAnsi="Times New Roman"/>
                <w:sz w:val="14"/>
                <w:szCs w:val="14"/>
                <w:color w:val="auto"/>
              </w:rPr>
              <w:t>- 380006</w:t>
            </w:r>
          </w:p>
        </w:tc>
        <w:tc>
          <w:tcPr>
            <w:tcW w:w="1200" w:type="dxa"/>
            <w:vAlign w:val="bottom"/>
          </w:tcPr>
          <w:p>
            <w:pPr>
              <w:ind w:left="60"/>
              <w:spacing w:after="0" w:line="143" w:lineRule="exact"/>
              <w:rPr>
                <w:sz w:val="20"/>
                <w:szCs w:val="20"/>
                <w:color w:val="auto"/>
              </w:rPr>
            </w:pPr>
            <w:r>
              <w:rPr>
                <w:rFonts w:ascii="Times New Roman" w:cs="Times New Roman" w:eastAsia="Times New Roman" w:hAnsi="Times New Roman"/>
                <w:sz w:val="14"/>
                <w:szCs w:val="14"/>
                <w:color w:val="auto"/>
              </w:rPr>
              <w:t xml:space="preserve">Al Wasl - </w:t>
            </w:r>
            <w:r>
              <w:rPr>
                <w:rFonts w:ascii="Times New Roman" w:cs="Times New Roman" w:eastAsia="Times New Roman" w:hAnsi="Times New Roman"/>
                <w:sz w:val="14"/>
                <w:szCs w:val="14"/>
                <w:b w:val="1"/>
                <w:bCs w:val="1"/>
                <w:color w:val="auto"/>
              </w:rPr>
              <w:t>Dubai -</w:t>
            </w:r>
          </w:p>
        </w:tc>
        <w:tc>
          <w:tcPr>
            <w:tcW w:w="184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Marg, Lower Parel,</w:t>
            </w:r>
          </w:p>
        </w:tc>
        <w:tc>
          <w:tcPr>
            <w:tcW w:w="208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Delhi - </w:t>
            </w:r>
            <w:r>
              <w:rPr>
                <w:rFonts w:ascii="Times New Roman" w:cs="Times New Roman" w:eastAsia="Times New Roman" w:hAnsi="Times New Roman"/>
                <w:sz w:val="14"/>
                <w:szCs w:val="14"/>
                <w:color w:val="auto"/>
              </w:rPr>
              <w:t>110016</w:t>
            </w:r>
          </w:p>
        </w:tc>
        <w:tc>
          <w:tcPr>
            <w:tcW w:w="2080" w:type="dxa"/>
            <w:vAlign w:val="bottom"/>
          </w:tcPr>
          <w:p>
            <w:pPr>
              <w:ind w:left="80"/>
              <w:spacing w:after="0" w:line="143" w:lineRule="exact"/>
              <w:rPr>
                <w:sz w:val="20"/>
                <w:szCs w:val="20"/>
                <w:color w:val="auto"/>
              </w:rPr>
            </w:pPr>
            <w:r>
              <w:rPr>
                <w:rFonts w:ascii="Times New Roman" w:cs="Times New Roman" w:eastAsia="Times New Roman" w:hAnsi="Times New Roman"/>
                <w:sz w:val="14"/>
                <w:szCs w:val="14"/>
                <w:color w:val="auto"/>
              </w:rPr>
              <w:t>500036</w:t>
            </w:r>
          </w:p>
        </w:tc>
      </w:tr>
      <w:tr>
        <w:trPr>
          <w:trHeight w:val="180"/>
        </w:trPr>
        <w:tc>
          <w:tcPr>
            <w:tcW w:w="15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UAE</w:t>
            </w:r>
          </w:p>
        </w:tc>
        <w:tc>
          <w:tcPr>
            <w:tcW w:w="1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Mumbai </w:t>
            </w:r>
            <w:r>
              <w:rPr>
                <w:rFonts w:ascii="Times New Roman" w:cs="Times New Roman" w:eastAsia="Times New Roman" w:hAnsi="Times New Roman"/>
                <w:sz w:val="14"/>
                <w:szCs w:val="14"/>
                <w:color w:val="auto"/>
              </w:rPr>
              <w:t>- 400013</w:t>
            </w:r>
          </w:p>
        </w:tc>
        <w:tc>
          <w:tcPr>
            <w:tcW w:w="20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r>
      <w:tr>
        <w:trPr>
          <w:trHeight w:val="242"/>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naman@pipara.com</w:t>
            </w:r>
          </w:p>
        </w:tc>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 + 91 79 40 370370</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info@pipara.com</w:t>
            </w:r>
          </w:p>
        </w:tc>
        <w:tc>
          <w:tcPr>
            <w:tcW w:w="1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 pipara@pipara.com</w:t>
            </w:r>
          </w:p>
        </w:tc>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chintan.jain@pipara.com</w:t>
            </w:r>
          </w:p>
        </w:tc>
        <w:tc>
          <w:tcPr>
            <w:tcW w:w="20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sharyansh.ranka@pipara.com</w:t>
            </w:r>
          </w:p>
        </w:tc>
      </w:tr>
      <w:tr>
        <w:trPr>
          <w:trHeight w:val="308"/>
        </w:trPr>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7"/>
        </w:trPr>
        <w:tc>
          <w:tcPr>
            <w:tcW w:w="1560" w:type="dxa"/>
            <w:vAlign w:val="bottom"/>
            <w:shd w:val="clear" w:color="auto" w:fill="0071BC"/>
          </w:tcPr>
          <w:p>
            <w:pPr>
              <w:spacing w:after="0"/>
              <w:rPr>
                <w:sz w:val="18"/>
                <w:szCs w:val="18"/>
                <w:color w:val="auto"/>
              </w:rPr>
            </w:pPr>
          </w:p>
        </w:tc>
        <w:tc>
          <w:tcPr>
            <w:tcW w:w="1800" w:type="dxa"/>
            <w:vAlign w:val="bottom"/>
            <w:shd w:val="clear" w:color="auto" w:fill="0071BC"/>
          </w:tcPr>
          <w:p>
            <w:pPr>
              <w:spacing w:after="0"/>
              <w:rPr>
                <w:sz w:val="18"/>
                <w:szCs w:val="18"/>
                <w:color w:val="auto"/>
              </w:rPr>
            </w:pPr>
          </w:p>
        </w:tc>
        <w:tc>
          <w:tcPr>
            <w:tcW w:w="1200" w:type="dxa"/>
            <w:vAlign w:val="bottom"/>
            <w:shd w:val="clear" w:color="auto" w:fill="0071BC"/>
          </w:tcPr>
          <w:p>
            <w:pPr>
              <w:spacing w:after="0"/>
              <w:rPr>
                <w:sz w:val="18"/>
                <w:szCs w:val="18"/>
                <w:color w:val="auto"/>
              </w:rPr>
            </w:pPr>
          </w:p>
        </w:tc>
        <w:tc>
          <w:tcPr>
            <w:tcW w:w="1840" w:type="dxa"/>
            <w:vAlign w:val="bottom"/>
            <w:shd w:val="clear" w:color="auto" w:fill="0071BC"/>
          </w:tcPr>
          <w:p>
            <w:pPr>
              <w:spacing w:after="0"/>
              <w:rPr>
                <w:sz w:val="18"/>
                <w:szCs w:val="18"/>
                <w:color w:val="auto"/>
              </w:rPr>
            </w:pPr>
          </w:p>
        </w:tc>
        <w:tc>
          <w:tcPr>
            <w:tcW w:w="2080" w:type="dxa"/>
            <w:vAlign w:val="bottom"/>
            <w:shd w:val="clear" w:color="auto" w:fill="0071BC"/>
          </w:tcPr>
          <w:p>
            <w:pPr>
              <w:spacing w:after="0"/>
              <w:rPr>
                <w:sz w:val="18"/>
                <w:szCs w:val="18"/>
                <w:color w:val="auto"/>
              </w:rPr>
            </w:pPr>
          </w:p>
        </w:tc>
        <w:tc>
          <w:tcPr>
            <w:tcW w:w="2080" w:type="dxa"/>
            <w:vAlign w:val="bottom"/>
            <w:shd w:val="clear" w:color="auto" w:fill="0071BC"/>
          </w:tcPr>
          <w:p>
            <w:pPr>
              <w:spacing w:after="0"/>
              <w:rPr>
                <w:sz w:val="18"/>
                <w:szCs w:val="18"/>
                <w:color w:val="auto"/>
              </w:rPr>
            </w:pPr>
          </w:p>
        </w:tc>
      </w:tr>
    </w:tbl>
    <w:p>
      <w:pPr>
        <w:sectPr>
          <w:pgSz w:w="11900" w:h="16838" w:orient="portrait"/>
          <w:cols w:equalWidth="0" w:num="1">
            <w:col w:w="10560"/>
          </w:cols>
          <w:pgMar w:left="660" w:top="119" w:right="679" w:bottom="1440" w:gutter="0" w:footer="0" w:header="0"/>
        </w:sectPr>
      </w:pPr>
    </w:p>
    <w:bookmarkStart w:id="30" w:name="page31"/>
    <w:bookmarkEnd w:id="30"/>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Semnur Pharmaceuticals,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0"/>
                <w:szCs w:val="10"/>
                <w:color w:val="auto"/>
              </w:rPr>
            </w:pPr>
          </w:p>
        </w:tc>
        <w:tc>
          <w:tcPr>
            <w:tcW w:w="94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restart"/>
            <w:shd w:val="clear" w:color="auto" w:fill="9ADAF6"/>
          </w:tcPr>
          <w:p>
            <w:pPr>
              <w:jc w:val="right"/>
              <w:ind w:right="76"/>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0"/>
                <w:szCs w:val="10"/>
                <w:color w:val="auto"/>
              </w:rPr>
            </w:pPr>
          </w:p>
        </w:tc>
        <w:tc>
          <w:tcPr>
            <w:tcW w:w="15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vMerge w:val="continue"/>
            <w:shd w:val="clear" w:color="auto" w:fill="9ADAF6"/>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4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18"/>
                <w:szCs w:val="18"/>
                <w:color w:val="auto"/>
              </w:rPr>
            </w:pPr>
          </w:p>
        </w:tc>
        <w:tc>
          <w:tcPr>
            <w:tcW w:w="15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4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4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0" w:type="dxa"/>
            <w:vAlign w:val="bottom"/>
            <w:tcBorders>
              <w:left w:val="single" w:sz="8" w:color="auto"/>
            </w:tcBorders>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shd w:val="clear" w:color="auto" w:fill="9ADAF6"/>
          </w:tcPr>
          <w:p>
            <w:pPr>
              <w:jc w:val="center"/>
              <w:spacing w:after="0" w:line="182" w:lineRule="exact"/>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15"/>
                <w:szCs w:val="15"/>
                <w:color w:val="auto"/>
              </w:rPr>
            </w:pPr>
          </w:p>
        </w:tc>
        <w:tc>
          <w:tcPr>
            <w:tcW w:w="1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18"/>
                <w:szCs w:val="18"/>
                <w:color w:val="auto"/>
              </w:rPr>
            </w:pPr>
          </w:p>
        </w:tc>
        <w:tc>
          <w:tcPr>
            <w:tcW w:w="940" w:type="dxa"/>
            <w:vAlign w:val="bottom"/>
            <w:shd w:val="clear" w:color="auto" w:fill="E7E7E2"/>
          </w:tcPr>
          <w:p>
            <w:pPr>
              <w:spacing w:after="0" w:line="208"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18"/>
                <w:szCs w:val="18"/>
                <w:color w:val="auto"/>
              </w:rPr>
            </w:pPr>
          </w:p>
        </w:tc>
        <w:tc>
          <w:tcPr>
            <w:tcW w:w="940" w:type="dxa"/>
            <w:vAlign w:val="bottom"/>
            <w:shd w:val="clear" w:color="auto" w:fill="E7E7E2"/>
          </w:tcPr>
          <w:p>
            <w:pPr>
              <w:spacing w:after="0" w:line="208"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8"/>
                <w:szCs w:val="18"/>
                <w:color w:val="auto"/>
              </w:rPr>
            </w:pPr>
          </w:p>
        </w:tc>
        <w:tc>
          <w:tcPr>
            <w:tcW w:w="1140" w:type="dxa"/>
            <w:vAlign w:val="bottom"/>
            <w:shd w:val="clear" w:color="auto" w:fill="E7E7E2"/>
          </w:tcPr>
          <w:p>
            <w:pPr>
              <w:jc w:val="center"/>
              <w:spacing w:after="0" w:line="208" w:lineRule="exact"/>
              <w:rPr>
                <w:sz w:val="20"/>
                <w:szCs w:val="20"/>
                <w:color w:val="auto"/>
              </w:rPr>
            </w:pPr>
            <w:r>
              <w:rPr>
                <w:rFonts w:ascii="Arial" w:cs="Arial" w:eastAsia="Arial" w:hAnsi="Arial"/>
                <w:sz w:val="21"/>
                <w:szCs w:val="21"/>
                <w:color w:val="auto"/>
                <w:w w:val="98"/>
              </w:rPr>
              <w:t>Other</w:t>
            </w:r>
          </w:p>
        </w:tc>
        <w:tc>
          <w:tcPr>
            <w:tcW w:w="40" w:type="dxa"/>
            <w:vAlign w:val="bottom"/>
          </w:tcPr>
          <w:p>
            <w:pPr>
              <w:spacing w:after="0"/>
              <w:rPr>
                <w:sz w:val="18"/>
                <w:szCs w:val="18"/>
                <w:color w:val="auto"/>
              </w:rPr>
            </w:pPr>
          </w:p>
        </w:tc>
        <w:tc>
          <w:tcPr>
            <w:tcW w:w="110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rPr>
              <w:t>46,250,000</w:t>
            </w:r>
          </w:p>
        </w:tc>
        <w:tc>
          <w:tcPr>
            <w:tcW w:w="20" w:type="dxa"/>
            <w:vAlign w:val="bottom"/>
          </w:tcPr>
          <w:p>
            <w:pPr>
              <w:spacing w:after="0"/>
              <w:rPr>
                <w:sz w:val="18"/>
                <w:szCs w:val="18"/>
                <w:color w:val="auto"/>
              </w:rPr>
            </w:pPr>
          </w:p>
        </w:tc>
        <w:tc>
          <w:tcPr>
            <w:tcW w:w="140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rPr>
              <w:t>$ 9.00</w:t>
            </w:r>
          </w:p>
        </w:tc>
        <w:tc>
          <w:tcPr>
            <w:tcW w:w="20" w:type="dxa"/>
            <w:vAlign w:val="bottom"/>
          </w:tcPr>
          <w:p>
            <w:pPr>
              <w:spacing w:after="0"/>
              <w:rPr>
                <w:sz w:val="18"/>
                <w:szCs w:val="18"/>
                <w:color w:val="auto"/>
              </w:rPr>
            </w:pPr>
          </w:p>
        </w:tc>
        <w:tc>
          <w:tcPr>
            <w:tcW w:w="15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rPr>
              <w:t>$ 57,484.13</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$0.0001</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416,250,000.00</w:t>
            </w: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vMerge w:val="continue"/>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shd w:val="clear" w:color="auto" w:fill="E7E7E2"/>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$ 57,484.13</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416,250,000.00</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$ 57,484.13</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820" w:right="700" w:hanging="214"/>
        <w:spacing w:after="0" w:line="241" w:lineRule="auto"/>
        <w:tabs>
          <w:tab w:leader="none" w:pos="820" w:val="left"/>
        </w:tabs>
        <w:numPr>
          <w:ilvl w:val="0"/>
          <w:numId w:val="23"/>
        </w:numPr>
        <w:rPr>
          <w:rFonts w:ascii="Arial" w:cs="Arial" w:eastAsia="Arial" w:hAnsi="Arial"/>
          <w:sz w:val="25"/>
          <w:szCs w:val="25"/>
          <w:color w:val="auto"/>
          <w:vertAlign w:val="superscript"/>
        </w:rPr>
      </w:pPr>
      <w:r>
        <w:rPr>
          <w:rFonts w:ascii="Arial" w:cs="Arial" w:eastAsia="Arial" w:hAnsi="Arial"/>
          <w:sz w:val="20"/>
          <w:szCs w:val="20"/>
          <w:color w:val="auto"/>
        </w:rPr>
        <w:t>A. Pursuant to Rule 416(a) of the Securities Act of 1933, as amended (the "Securities Act"), this Registration Statement shall also cover any additional shares of the Registrant's common stock, $0.0001 par value per share (the "Common Stock"), that become issuable under the Semnur Pharmaceuticals, Inc. 2024 Stock Option Plan (the "Plan") by reason of any stock dividend, stock split, recapitalization or other similar transaction effected without receipt of consideration that increases the number of outstanding shares of Common Stock. B. Represents shares of Common Stock issuable upon exercise of outstanding stock options granted under the Plan. C. Estimated solely for the purpose of calculating the registration fee in accordance with Rule 457(c) and 457(h) under the Securities Act. The proposed maximum offering price per share and the proposed maximum aggregate offering price are based on the last sale price reported for the Common Stock on the OTC Markets on November 28, 2025 (such date being within five business days of the date that this registration statement was filed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81280</wp:posOffset>
            </wp:positionV>
            <wp:extent cx="6398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vMerge w:val="restart"/>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vMerge w:val="continue"/>
            <w:shd w:val="clear" w:color="auto" w:fill="9ADAF6"/>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650"/>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lvl w:ilvl="1">
      <w:lvlJc w:val="left"/>
      <w:lvlText w:val="(%2)"/>
      <w:numFmt w:val="decimal"/>
      <w:start w:val="1"/>
    </w:lvl>
  </w:abstractNum>
  <w:abstractNum w:abstractNumId="14">
    <w:nsid w:val="7C83E458"/>
    <w:multiLevelType w:val="hybridMultilevel"/>
    <w:lvl w:ilvl="0">
      <w:lvlJc w:val="left"/>
      <w:lvlText w:val="(%1)"/>
      <w:numFmt w:val="lowerRoman"/>
      <w:start w:val="1"/>
    </w:lvl>
  </w:abstractNum>
  <w:abstractNum w:abstractNumId="15">
    <w:nsid w:val="257130A3"/>
    <w:multiLevelType w:val="hybridMultilevel"/>
    <w:lvl w:ilvl="0">
      <w:lvlJc w:val="left"/>
      <w:lvlText w:val="(%1)"/>
      <w:numFmt w:val="upperLetter"/>
      <w:start w:val="1"/>
    </w:lvl>
  </w:abstractNum>
  <w:abstractNum w:abstractNumId="16">
    <w:nsid w:val="62BBD95A"/>
    <w:multiLevelType w:val="hybridMultilevel"/>
    <w:lvl w:ilvl="0">
      <w:lvlJc w:val="left"/>
      <w:lvlText w:val="%1"/>
      <w:numFmt w:val="lowerLetter"/>
      <w:start w:val="1"/>
    </w:lvl>
    <w:lvl w:ilvl="1">
      <w:lvlJc w:val="left"/>
      <w:lvlText w:val="(%2)"/>
      <w:numFmt w:val="decimal"/>
      <w:start w:val="2"/>
    </w:lvl>
  </w:abstractNum>
  <w:abstractNum w:abstractNumId="17">
    <w:nsid w:val="436C6125"/>
    <w:multiLevelType w:val="hybridMultilevel"/>
    <w:lvl w:ilvl="0">
      <w:lvlJc w:val="left"/>
      <w:lvlText w:val="(%1)"/>
      <w:numFmt w:val="lowerLetter"/>
      <w:start w:val="2"/>
    </w:lvl>
    <w:lvl w:ilvl="1">
      <w:lvlJc w:val="left"/>
      <w:lvlText w:val="%2"/>
      <w:numFmt w:val="decimal"/>
      <w:start w:val="1"/>
    </w:lvl>
  </w:abstractNum>
  <w:abstractNum w:abstractNumId="18">
    <w:nsid w:val="628C895D"/>
    <w:multiLevelType w:val="hybridMultilevel"/>
    <w:lvl w:ilvl="0">
      <w:lvlJc w:val="left"/>
      <w:lvlText w:val="(%1)"/>
      <w:numFmt w:val="lowerLetter"/>
      <w:start w:val="8"/>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lowerRoman"/>
      <w:start w:val="6"/>
    </w:lvl>
  </w:abstractNum>
  <w:abstractNum w:abstractNumId="21">
    <w:nsid w:val="2443A858"/>
    <w:multiLevelType w:val="hybridMultilevel"/>
    <w:lvl w:ilvl="0">
      <w:lvlJc w:val="left"/>
      <w:lvlText w:val="(%1)"/>
      <w:numFmt w:val="lowerRoman"/>
      <w:start w:val="7"/>
    </w:lvl>
  </w:abstractNum>
  <w:abstractNum w:abstractNumId="22">
    <w:nsid w:val="2D1D5A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jpeg"/><Relationship Id="rId74" Type="http://schemas.openxmlformats.org/officeDocument/2006/relationships/image" Target="media/image48.jpeg"/><Relationship Id="rId75" Type="http://schemas.openxmlformats.org/officeDocument/2006/relationships/image" Target="media/image49.png"/><Relationship Id="rId76" Type="http://schemas.openxmlformats.org/officeDocument/2006/relationships/image" Target="media/image50.jpeg"/><Relationship Id="rId77" Type="http://schemas.openxmlformats.org/officeDocument/2006/relationships/image" Target="media/image51.png"/><Relationship Id="rId78" Type="http://schemas.openxmlformats.org/officeDocument/2006/relationships/image" Target="media/image52.jpeg"/><Relationship Id="rId79" Type="http://schemas.openxmlformats.org/officeDocument/2006/relationships/image" Target="media/image53.jpeg"/><Relationship Id="rId80" Type="http://schemas.openxmlformats.org/officeDocument/2006/relationships/image" Target="media/image54.jpeg"/><Relationship Id="rId81" Type="http://schemas.openxmlformats.org/officeDocument/2006/relationships/image" Target="media/image55.png"/><Relationship Id="rId24" Type="http://schemas.openxmlformats.org/officeDocument/2006/relationships/hyperlink" Target="http://www.sec.gov/Archives/edgar/data/1584541/000119312525179226/d887184d424b3.htm" TargetMode="External"/><Relationship Id="rId25" Type="http://schemas.openxmlformats.org/officeDocument/2006/relationships/hyperlink" Target="http://www.sec.gov/ix?doc=/Archives/edgar/data/1913577/000119312525277536/smnr-20250930.htm" TargetMode="External"/><Relationship Id="rId26" Type="http://schemas.openxmlformats.org/officeDocument/2006/relationships/hyperlink" Target="http://www.sec.gov/ix?doc=/Archives/edgar/data/1913577/000121390025030048/ea0237665-8k425_denali.htm" TargetMode="External"/><Relationship Id="rId27" Type="http://schemas.openxmlformats.org/officeDocument/2006/relationships/hyperlink" Target="http://www.sec.gov/ix?doc=/Archives/edgar/data/1913577/000121390025032299/ea0238488-8k_denali.htm" TargetMode="External"/><Relationship Id="rId28" Type="http://schemas.openxmlformats.org/officeDocument/2006/relationships/hyperlink" Target="http://www.sec.gov/ix?doc=/Archives/edgar/data/1913577/000121390025034254/ea0239156-8k_denali.htm" TargetMode="External"/><Relationship Id="rId29" Type="http://schemas.openxmlformats.org/officeDocument/2006/relationships/hyperlink" Target="http://www.sec.gov/ix?doc=/Archives/edgar/data/1913577/000121390025041653/ea0241580-8k425_denali.htm" TargetMode="External"/><Relationship Id="rId30" Type="http://schemas.openxmlformats.org/officeDocument/2006/relationships/hyperlink" Target="http://www.sec.gov/ix?doc=/Archives/edgar/data/1913577/000121390025053576/ea0245317-8k_denali.htm" TargetMode="External"/><Relationship Id="rId31" Type="http://schemas.openxmlformats.org/officeDocument/2006/relationships/hyperlink" Target="http://www.sec.gov/ix?doc=/Archives/edgar/data/1913577/000121390025063294/ea0248712-8k425_denali.htm" TargetMode="External"/><Relationship Id="rId32" Type="http://schemas.openxmlformats.org/officeDocument/2006/relationships/hyperlink" Target="http://www.sec.gov/ix?doc=/Archives/edgar/data/1913577/000121390025068263/ea025050601-8k425_denali.htm" TargetMode="External"/><Relationship Id="rId33" Type="http://schemas.openxmlformats.org/officeDocument/2006/relationships/hyperlink" Target="http://www.sec.gov/ix?doc=/Archives/edgar/data/1913577/000121390025073907/ea0252600-8k425_denali.htm" TargetMode="External"/><Relationship Id="rId34" Type="http://schemas.openxmlformats.org/officeDocument/2006/relationships/hyperlink" Target="http://www.sec.gov/ix?doc=/Archives/edgar/data/1913577/000121390025079504/ea0254236-8k425_denali.htm" TargetMode="External"/><Relationship Id="rId35" Type="http://schemas.openxmlformats.org/officeDocument/2006/relationships/hyperlink" Target="http://www.sec.gov/ix?doc=/Archives/edgar/data/1913577/000121390025084180/ea0255814-8k_denali.htm" TargetMode="External"/><Relationship Id="rId36" Type="http://schemas.openxmlformats.org/officeDocument/2006/relationships/hyperlink" Target="http://www.sec.gov/ix?doc=/Archives/edgar/data/1913577/000119312525220455/d68253d8k.htm" TargetMode="External"/><Relationship Id="rId37" Type="http://schemas.openxmlformats.org/officeDocument/2006/relationships/hyperlink" Target="http://www.sec.gov/ix?doc=/Archives/edgar/data/1913577/000119312525306757/d42925d8k.htm" TargetMode="External"/><Relationship Id="rId38" Type="http://schemas.openxmlformats.org/officeDocument/2006/relationships/hyperlink" Target="http://www.sec.gov/Archives/edgar/data/1913577/000157587222000249/sa014_8a-12b.htm" TargetMode="External"/><Relationship Id="rId58" Type="http://schemas.openxmlformats.org/officeDocument/2006/relationships/hyperlink" Target="http://www.sec.gov/Archives/edgar/data/1913577/000119312525220455/d68253dex31.htm" TargetMode="External"/><Relationship Id="rId59" Type="http://schemas.openxmlformats.org/officeDocument/2006/relationships/hyperlink" Target="http://www.sec.gov/Archives/edgar/data/1913577/000119312525220455/d68253dex33.htm" TargetMode="External"/><Relationship Id="rId60" Type="http://schemas.openxmlformats.org/officeDocument/2006/relationships/hyperlink" Target="http://www.sec.gov/Archives/edgar/data/1584541/000119312525087342/d887184dex1012.htm" TargetMode="External"/><Relationship Id="rId61" Type="http://schemas.openxmlformats.org/officeDocument/2006/relationships/hyperlink" Target="http://www.sec.gov/Archives/edgar/data/1584541/000119312525087342/d887184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2025-12-03T16:27:17Z</dcterms:created>
  <dcterms:modified xsi:type="dcterms:W3CDTF">2025-12-03T16:27:17Z</dcterms:modified>
</cp:coreProperties>
</file>